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C8" w:rsidRDefault="006E7EB0" w:rsidP="0072192F">
      <w:pPr>
        <w:pStyle w:val="Overskrift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BILAG 4: </w:t>
      </w:r>
      <w:r w:rsidR="0072192F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72192F" w:rsidRPr="0072192F" w:rsidRDefault="0072192F" w:rsidP="0072192F">
      <w:pPr>
        <w:rPr>
          <w:lang w:eastAsia="en-US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340D6C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340D6C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 2018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72192F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340D6C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6E7EB0" w:rsidRPr="00FD57B3" w:rsidRDefault="00340D6C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evaluering af TBL.</w:t>
            </w:r>
          </w:p>
          <w:p w:rsidR="006E7EB0" w:rsidRPr="00FD57B3" w:rsidRDefault="000C58D6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Spændende modul med gode diagnose overlap mellem hæmatologi/reumatologi/ortopædi. 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340D6C" w:rsidRPr="000C58D6" w:rsidRDefault="00340D6C" w:rsidP="00057B3A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En del klager over for sent aflyste timer.</w:t>
            </w:r>
            <w:r w:rsidR="000C58D6">
              <w:rPr>
                <w:sz w:val="28"/>
                <w:szCs w:val="28"/>
              </w:rPr>
              <w:t xml:space="preserve"> </w:t>
            </w:r>
            <w:r w:rsidRPr="000C58D6">
              <w:rPr>
                <w:sz w:val="28"/>
                <w:szCs w:val="28"/>
              </w:rPr>
              <w:t>Undervisere der flere gange kom for sent til forelæsning.</w:t>
            </w:r>
          </w:p>
          <w:p w:rsidR="000C58D6" w:rsidRPr="000C58D6" w:rsidRDefault="000C58D6" w:rsidP="000C58D6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 xml:space="preserve">Enkelte undervisere har justeret i forelæsningsnoter uden de har været elektronisk tilgængelige før undervisningen. </w:t>
            </w:r>
          </w:p>
          <w:p w:rsidR="006E7EB0" w:rsidRPr="000C58D6" w:rsidRDefault="00340D6C" w:rsidP="000C58D6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Undervisningen i flere emner har været for forskningsbaseret.</w:t>
            </w:r>
          </w:p>
          <w:p w:rsidR="006E7EB0" w:rsidRPr="000C58D6" w:rsidRDefault="00340D6C" w:rsidP="000C58D6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Ønske om bedre afgrænsning af læsevejledning</w:t>
            </w:r>
            <w:r w:rsidR="00285D9A">
              <w:rPr>
                <w:sz w:val="28"/>
                <w:szCs w:val="28"/>
              </w:rPr>
              <w:t xml:space="preserve"> med side tal</w:t>
            </w:r>
            <w:r w:rsidRPr="000C58D6">
              <w:rPr>
                <w:sz w:val="28"/>
                <w:szCs w:val="28"/>
              </w:rPr>
              <w:t>.</w:t>
            </w: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057B3A">
        <w:trPr>
          <w:trHeight w:val="1476"/>
        </w:trPr>
        <w:tc>
          <w:tcPr>
            <w:tcW w:w="9670" w:type="dxa"/>
          </w:tcPr>
          <w:p w:rsidR="006E7EB0" w:rsidRPr="000C58D6" w:rsidRDefault="00340D6C" w:rsidP="000C58D6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Et relevant ønske om at underviserne ikke kommer for sent.</w:t>
            </w:r>
          </w:p>
          <w:p w:rsidR="00340D6C" w:rsidRPr="000C58D6" w:rsidRDefault="00340D6C" w:rsidP="000C58D6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Et ønske om at holdundervisning genindføres.</w:t>
            </w:r>
          </w:p>
          <w:p w:rsidR="00340D6C" w:rsidRPr="000C58D6" w:rsidRDefault="00340D6C" w:rsidP="000C58D6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C58D6">
              <w:rPr>
                <w:sz w:val="28"/>
                <w:szCs w:val="28"/>
              </w:rPr>
              <w:t>Forslag om Podcast til gennemgang af blodets celler som repetition.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340D6C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nedenstående under handleplan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72192F" w:rsidRDefault="007219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285D9A" w:rsidRDefault="00285D9A" w:rsidP="00285D9A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aflyste timer er blevet gennemgået med modulsekretæren. Det drejer sig faktuelt om 3 undervisningstimer der er blevet aflyst </w:t>
            </w:r>
            <w:proofErr w:type="spellStart"/>
            <w:r>
              <w:rPr>
                <w:sz w:val="28"/>
                <w:szCs w:val="28"/>
              </w:rPr>
              <w:t>pga</w:t>
            </w:r>
            <w:proofErr w:type="spellEnd"/>
            <w:r>
              <w:rPr>
                <w:sz w:val="28"/>
                <w:szCs w:val="28"/>
              </w:rPr>
              <w:t xml:space="preserve"> sygdom, udmeldt på E-</w:t>
            </w:r>
            <w:proofErr w:type="spellStart"/>
            <w:r>
              <w:rPr>
                <w:sz w:val="28"/>
                <w:szCs w:val="28"/>
              </w:rPr>
              <w:t>learn</w:t>
            </w:r>
            <w:proofErr w:type="spellEnd"/>
            <w:r>
              <w:rPr>
                <w:sz w:val="28"/>
                <w:szCs w:val="28"/>
              </w:rPr>
              <w:t xml:space="preserve"> og efterfølgende suppleret med erstatningstime. En enkelt forelæsning har vist sig at være en genganger fra K1 som nu er fjernet fra K2 modulet, rettidigt udmeldt.</w:t>
            </w:r>
          </w:p>
          <w:p w:rsidR="006E7EB0" w:rsidRDefault="00340D6C" w:rsidP="00285D9A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85D9A">
              <w:rPr>
                <w:sz w:val="28"/>
                <w:szCs w:val="28"/>
              </w:rPr>
              <w:t>Igennem de sidste to handleplaner har det været prioriteret højt at al undervisningsmateriale lå tilgængeligt ved modulstart. Det har modulsekretæren sikret at det gjorde.</w:t>
            </w:r>
            <w:r w:rsidR="00285D9A">
              <w:rPr>
                <w:sz w:val="28"/>
                <w:szCs w:val="28"/>
              </w:rPr>
              <w:t xml:space="preserve"> Før modulstart vil alle undervisere blive bedt om at sikre at deres opdaterede materiale er tilgængeligt.</w:t>
            </w:r>
          </w:p>
          <w:p w:rsidR="00285D9A" w:rsidRDefault="00285D9A" w:rsidP="00285D9A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undervisningsmateriale er nu gennemgået og der er kun ”forskningsdata (</w:t>
            </w:r>
            <w:proofErr w:type="spellStart"/>
            <w:r>
              <w:rPr>
                <w:sz w:val="28"/>
                <w:szCs w:val="28"/>
              </w:rPr>
              <w:t>dvs</w:t>
            </w:r>
            <w:proofErr w:type="spellEnd"/>
            <w:r>
              <w:rPr>
                <w:sz w:val="28"/>
                <w:szCs w:val="28"/>
              </w:rPr>
              <w:t xml:space="preserve"> materiale fra videnskabeligt publicerede artikler)” i det omfang de har været med til at ændre på eksisterende </w:t>
            </w:r>
            <w:proofErr w:type="spellStart"/>
            <w:r>
              <w:rPr>
                <w:sz w:val="28"/>
                <w:szCs w:val="28"/>
              </w:rPr>
              <w:t>guideline’s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285D9A" w:rsidRDefault="00285D9A" w:rsidP="00285D9A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Studyguiden</w:t>
            </w:r>
            <w:proofErr w:type="spellEnd"/>
            <w:r>
              <w:rPr>
                <w:sz w:val="28"/>
                <w:szCs w:val="28"/>
              </w:rPr>
              <w:t xml:space="preserve"> blev justeret under forløbet med sidetal for at støtte læsningen.</w:t>
            </w:r>
          </w:p>
          <w:p w:rsidR="00285D9A" w:rsidRDefault="00285D9A" w:rsidP="00285D9A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Underviserne vil blive bedt om ikke at møde for sent, hvis det </w:t>
            </w:r>
            <w:r w:rsidR="0072192F">
              <w:rPr>
                <w:sz w:val="28"/>
                <w:szCs w:val="28"/>
              </w:rPr>
              <w:t>sker,</w:t>
            </w:r>
            <w:r>
              <w:rPr>
                <w:sz w:val="28"/>
                <w:szCs w:val="28"/>
              </w:rPr>
              <w:t xml:space="preserve"> vil del-tovholderne blive </w:t>
            </w:r>
            <w:proofErr w:type="spellStart"/>
            <w:r>
              <w:rPr>
                <w:sz w:val="28"/>
                <w:szCs w:val="28"/>
              </w:rPr>
              <w:t>adviceret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3390B" w:rsidRDefault="0063390B" w:rsidP="0063390B">
            <w:pPr>
              <w:pStyle w:val="Listeafsni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3390B">
              <w:rPr>
                <w:sz w:val="28"/>
                <w:szCs w:val="28"/>
              </w:rPr>
              <w:t>De øvrige undervisere vil blive opfordret til at tage imod tilbuddet om at være medhørere på den ”</w:t>
            </w:r>
            <w:proofErr w:type="spellStart"/>
            <w:r w:rsidRPr="0063390B">
              <w:rPr>
                <w:sz w:val="28"/>
                <w:szCs w:val="28"/>
              </w:rPr>
              <w:t>Reumatologisek</w:t>
            </w:r>
            <w:proofErr w:type="spellEnd"/>
            <w:r w:rsidRPr="0063390B">
              <w:rPr>
                <w:sz w:val="28"/>
                <w:szCs w:val="28"/>
              </w:rPr>
              <w:t xml:space="preserve"> TBL”, deltovholderne vil blive invi</w:t>
            </w:r>
            <w:r>
              <w:rPr>
                <w:sz w:val="28"/>
                <w:szCs w:val="28"/>
              </w:rPr>
              <w:t>t</w:t>
            </w:r>
            <w:r w:rsidRPr="0063390B">
              <w:rPr>
                <w:sz w:val="28"/>
                <w:szCs w:val="28"/>
              </w:rPr>
              <w:t>eret særskilt.</w:t>
            </w:r>
          </w:p>
          <w:p w:rsidR="0063390B" w:rsidRPr="0063390B" w:rsidRDefault="0063390B" w:rsidP="0063390B">
            <w:pPr>
              <w:rPr>
                <w:sz w:val="28"/>
                <w:szCs w:val="28"/>
              </w:rPr>
            </w:pPr>
          </w:p>
          <w:p w:rsidR="0063390B" w:rsidRDefault="0063390B" w:rsidP="00633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evalueringsresultaterne:</w:t>
            </w:r>
          </w:p>
          <w:p w:rsidR="0063390B" w:rsidRDefault="0063390B" w:rsidP="0063390B">
            <w:pPr>
              <w:pStyle w:val="Listeafsni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 18% har besvaret.</w:t>
            </w:r>
          </w:p>
          <w:p w:rsidR="0063390B" w:rsidRDefault="0063390B" w:rsidP="0063390B">
            <w:pPr>
              <w:pStyle w:val="Listeafsni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Hvis vi skal levere evidensbaseret </w:t>
            </w:r>
            <w:r w:rsidR="0072192F">
              <w:rPr>
                <w:sz w:val="28"/>
                <w:szCs w:val="28"/>
              </w:rPr>
              <w:t>undervisning,</w:t>
            </w:r>
            <w:r>
              <w:rPr>
                <w:sz w:val="28"/>
                <w:szCs w:val="28"/>
              </w:rPr>
              <w:t xml:space="preserve"> er det nødvendigt med en vis mængede forskningsdata der viser at diverse guidelines er understøttet af evidens.</w:t>
            </w:r>
          </w:p>
          <w:p w:rsidR="006E7EB0" w:rsidRPr="00FD57B3" w:rsidRDefault="0063390B" w:rsidP="0063390B">
            <w:pPr>
              <w:pStyle w:val="Listeafsni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3390B">
              <w:rPr>
                <w:sz w:val="28"/>
                <w:szCs w:val="28"/>
              </w:rPr>
              <w:t xml:space="preserve">Som erfaren underviser kan jeg varmt anbefale den nye form TBL. </w:t>
            </w:r>
            <w:proofErr w:type="spellStart"/>
            <w:r w:rsidRPr="0063390B">
              <w:rPr>
                <w:sz w:val="28"/>
                <w:szCs w:val="28"/>
              </w:rPr>
              <w:t>iRAT</w:t>
            </w:r>
            <w:proofErr w:type="spellEnd"/>
            <w:r w:rsidRPr="0063390B">
              <w:rPr>
                <w:sz w:val="28"/>
                <w:szCs w:val="28"/>
              </w:rPr>
              <w:t xml:space="preserve"> fungerer faktisk som en midtvejsevaluering (hvor dette hold scorede langt under </w:t>
            </w:r>
            <w:r w:rsidR="0072192F" w:rsidRPr="0063390B">
              <w:rPr>
                <w:sz w:val="28"/>
                <w:szCs w:val="28"/>
              </w:rPr>
              <w:t>forrige</w:t>
            </w:r>
            <w:r w:rsidRPr="0063390B">
              <w:rPr>
                <w:sz w:val="28"/>
                <w:szCs w:val="28"/>
              </w:rPr>
              <w:t xml:space="preserve"> semester hold i korrekt antal svar i den individuelle </w:t>
            </w:r>
            <w:proofErr w:type="spellStart"/>
            <w:r w:rsidRPr="0063390B">
              <w:rPr>
                <w:sz w:val="28"/>
                <w:szCs w:val="28"/>
              </w:rPr>
              <w:t>assessment</w:t>
            </w:r>
            <w:proofErr w:type="spellEnd"/>
            <w:r w:rsidRPr="0063390B">
              <w:rPr>
                <w:sz w:val="28"/>
                <w:szCs w:val="28"/>
              </w:rPr>
              <w:t xml:space="preserve"> på udvalgte diagnoser og mere optimalt på andre diagnoser). </w:t>
            </w:r>
            <w:proofErr w:type="spellStart"/>
            <w:r w:rsidRPr="0063390B">
              <w:rPr>
                <w:sz w:val="28"/>
                <w:szCs w:val="28"/>
              </w:rPr>
              <w:t>Dvs</w:t>
            </w:r>
            <w:proofErr w:type="spellEnd"/>
            <w:r w:rsidRPr="0063390B">
              <w:rPr>
                <w:sz w:val="28"/>
                <w:szCs w:val="28"/>
              </w:rPr>
              <w:t xml:space="preserve"> </w:t>
            </w:r>
            <w:proofErr w:type="spellStart"/>
            <w:r w:rsidRPr="0063390B">
              <w:rPr>
                <w:sz w:val="28"/>
                <w:szCs w:val="28"/>
              </w:rPr>
              <w:t>iRat</w:t>
            </w:r>
            <w:proofErr w:type="spellEnd"/>
            <w:r w:rsidRPr="0063390B">
              <w:rPr>
                <w:sz w:val="28"/>
                <w:szCs w:val="28"/>
              </w:rPr>
              <w:t xml:space="preserve"> kan fungere som et pejlemærke for den enkelte </w:t>
            </w:r>
            <w:proofErr w:type="spellStart"/>
            <w:r w:rsidRPr="0063390B">
              <w:rPr>
                <w:sz w:val="28"/>
                <w:szCs w:val="28"/>
              </w:rPr>
              <w:t>student’s</w:t>
            </w:r>
            <w:proofErr w:type="spellEnd"/>
            <w:r w:rsidRPr="0063390B">
              <w:rPr>
                <w:sz w:val="28"/>
                <w:szCs w:val="28"/>
              </w:rPr>
              <w:t xml:space="preserve"> eksamenslæsning.</w:t>
            </w:r>
          </w:p>
        </w:tc>
      </w:tr>
    </w:tbl>
    <w:p w:rsidR="00B15B95" w:rsidRPr="006E7EB0" w:rsidRDefault="0072192F" w:rsidP="006E7EB0"/>
    <w:sectPr w:rsidR="00B15B95" w:rsidRPr="006E7EB0" w:rsidSect="00F9459B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C3" w:rsidRDefault="00801EC8">
      <w:r>
        <w:separator/>
      </w:r>
    </w:p>
  </w:endnote>
  <w:endnote w:type="continuationSeparator" w:id="0">
    <w:p w:rsidR="00877AC3" w:rsidRDefault="008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72192F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3390B">
      <w:rPr>
        <w:rStyle w:val="Sidetal"/>
        <w:noProof/>
      </w:rPr>
      <w:t>2</w:t>
    </w:r>
    <w:r>
      <w:rPr>
        <w:rStyle w:val="Sidetal"/>
      </w:rPr>
      <w:fldChar w:fldCharType="end"/>
    </w:r>
  </w:p>
  <w:p w:rsidR="00D94ABE" w:rsidRDefault="0072192F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C3" w:rsidRDefault="00801EC8">
      <w:r>
        <w:separator/>
      </w:r>
    </w:p>
  </w:footnote>
  <w:footnote w:type="continuationSeparator" w:id="0">
    <w:p w:rsidR="00877AC3" w:rsidRDefault="008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5B6"/>
    <w:multiLevelType w:val="hybridMultilevel"/>
    <w:tmpl w:val="7FF0B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B31"/>
    <w:multiLevelType w:val="hybridMultilevel"/>
    <w:tmpl w:val="D0A4AA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823"/>
    <w:multiLevelType w:val="hybridMultilevel"/>
    <w:tmpl w:val="63E0D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D08C8"/>
    <w:multiLevelType w:val="hybridMultilevel"/>
    <w:tmpl w:val="FFB208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3983"/>
    <w:multiLevelType w:val="hybridMultilevel"/>
    <w:tmpl w:val="A7C22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C58D6"/>
    <w:rsid w:val="00224969"/>
    <w:rsid w:val="00285D9A"/>
    <w:rsid w:val="00340D6C"/>
    <w:rsid w:val="005602B6"/>
    <w:rsid w:val="005F4B16"/>
    <w:rsid w:val="0063390B"/>
    <w:rsid w:val="006E7EB0"/>
    <w:rsid w:val="0072192F"/>
    <w:rsid w:val="00755DE9"/>
    <w:rsid w:val="00801EC8"/>
    <w:rsid w:val="008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E2C0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0C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3</cp:revision>
  <dcterms:created xsi:type="dcterms:W3CDTF">2018-08-09T14:22:00Z</dcterms:created>
  <dcterms:modified xsi:type="dcterms:W3CDTF">2019-07-17T11:52:00Z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{B6384D18-2FE3-47C0-B655-83AD856C3095}</vt:lpwstr>
  </property>
</Properties>
</file>