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EB0" w:rsidRPr="00DC352C" w:rsidRDefault="006E7EB0" w:rsidP="006E7EB0">
      <w:pPr>
        <w:pStyle w:val="Overskrift1"/>
        <w:rPr>
          <w:rFonts w:asciiTheme="minorHAnsi" w:hAnsiTheme="minorHAnsi"/>
          <w:color w:val="auto"/>
        </w:rPr>
      </w:pPr>
      <w:r>
        <w:rPr>
          <w:rFonts w:asciiTheme="minorHAnsi" w:hAnsiTheme="minorHAnsi"/>
          <w:color w:val="auto"/>
        </w:rPr>
        <w:t xml:space="preserve">BILAG 4: </w:t>
      </w:r>
      <w:r w:rsidR="006A6173">
        <w:rPr>
          <w:rFonts w:asciiTheme="minorHAnsi" w:hAnsiTheme="minorHAnsi"/>
          <w:color w:val="auto"/>
        </w:rPr>
        <w:t>H</w:t>
      </w:r>
      <w:r>
        <w:rPr>
          <w:rFonts w:asciiTheme="minorHAnsi" w:hAnsiTheme="minorHAnsi"/>
          <w:color w:val="auto"/>
        </w:rPr>
        <w:t>andleplan</w:t>
      </w:r>
    </w:p>
    <w:p w:rsidR="00801EC8" w:rsidRPr="00FD57B3" w:rsidRDefault="00801EC8" w:rsidP="006E7EB0">
      <w:pPr>
        <w:rPr>
          <w:sz w:val="28"/>
          <w:szCs w:val="28"/>
        </w:rPr>
      </w:pPr>
    </w:p>
    <w:tbl>
      <w:tblPr>
        <w:tblStyle w:val="Tabel-Gitter"/>
        <w:tblW w:w="0" w:type="auto"/>
        <w:tblInd w:w="108" w:type="dxa"/>
        <w:tblLook w:val="04A0" w:firstRow="1" w:lastRow="0" w:firstColumn="1" w:lastColumn="0" w:noHBand="0" w:noVBand="1"/>
      </w:tblPr>
      <w:tblGrid>
        <w:gridCol w:w="2243"/>
        <w:gridCol w:w="7497"/>
      </w:tblGrid>
      <w:tr w:rsidR="006E7EB0" w:rsidRPr="00FD57B3" w:rsidTr="00057B3A">
        <w:tc>
          <w:tcPr>
            <w:tcW w:w="2243" w:type="dxa"/>
            <w:shd w:val="clear" w:color="auto" w:fill="95B3D7" w:themeFill="accent1" w:themeFillTint="99"/>
          </w:tcPr>
          <w:p w:rsidR="006E7EB0" w:rsidRPr="00FD57B3" w:rsidRDefault="006E7EB0" w:rsidP="00057B3A">
            <w:pPr>
              <w:rPr>
                <w:sz w:val="28"/>
                <w:szCs w:val="28"/>
              </w:rPr>
            </w:pPr>
            <w:r w:rsidRPr="00FD57B3">
              <w:rPr>
                <w:sz w:val="28"/>
                <w:szCs w:val="28"/>
              </w:rPr>
              <w:t>Fag</w:t>
            </w:r>
          </w:p>
        </w:tc>
        <w:tc>
          <w:tcPr>
            <w:tcW w:w="7503" w:type="dxa"/>
          </w:tcPr>
          <w:p w:rsidR="006E7EB0" w:rsidRPr="00FD57B3" w:rsidRDefault="009D342D" w:rsidP="00057B3A">
            <w:pPr>
              <w:rPr>
                <w:sz w:val="28"/>
                <w:szCs w:val="28"/>
              </w:rPr>
            </w:pPr>
            <w:r>
              <w:rPr>
                <w:sz w:val="28"/>
                <w:szCs w:val="28"/>
              </w:rPr>
              <w:t>Ernæring og Metabolisme</w:t>
            </w:r>
          </w:p>
        </w:tc>
      </w:tr>
      <w:tr w:rsidR="006E7EB0" w:rsidRPr="00FD57B3" w:rsidTr="00057B3A">
        <w:tc>
          <w:tcPr>
            <w:tcW w:w="2243" w:type="dxa"/>
            <w:shd w:val="clear" w:color="auto" w:fill="95B3D7" w:themeFill="accent1" w:themeFillTint="99"/>
          </w:tcPr>
          <w:p w:rsidR="006E7EB0" w:rsidRPr="00FD57B3" w:rsidRDefault="006E7EB0" w:rsidP="00057B3A">
            <w:pPr>
              <w:rPr>
                <w:sz w:val="28"/>
                <w:szCs w:val="28"/>
              </w:rPr>
            </w:pPr>
            <w:r w:rsidRPr="00FD57B3">
              <w:rPr>
                <w:sz w:val="28"/>
                <w:szCs w:val="28"/>
              </w:rPr>
              <w:t>Dato</w:t>
            </w:r>
          </w:p>
        </w:tc>
        <w:tc>
          <w:tcPr>
            <w:tcW w:w="7503" w:type="dxa"/>
          </w:tcPr>
          <w:p w:rsidR="006E7EB0" w:rsidRPr="00FD57B3" w:rsidRDefault="009D342D" w:rsidP="00057B3A">
            <w:pPr>
              <w:rPr>
                <w:sz w:val="28"/>
                <w:szCs w:val="28"/>
              </w:rPr>
            </w:pPr>
            <w:r>
              <w:rPr>
                <w:sz w:val="28"/>
                <w:szCs w:val="28"/>
              </w:rPr>
              <w:t>07.12.17</w:t>
            </w:r>
          </w:p>
        </w:tc>
      </w:tr>
      <w:tr w:rsidR="006E7EB0" w:rsidRPr="00FD57B3" w:rsidTr="00057B3A">
        <w:tc>
          <w:tcPr>
            <w:tcW w:w="2243" w:type="dxa"/>
            <w:shd w:val="clear" w:color="auto" w:fill="95B3D7" w:themeFill="accent1" w:themeFillTint="99"/>
          </w:tcPr>
          <w:p w:rsidR="006E7EB0" w:rsidRPr="00FD57B3" w:rsidRDefault="006E7EB0" w:rsidP="00057B3A">
            <w:pPr>
              <w:rPr>
                <w:sz w:val="28"/>
                <w:szCs w:val="28"/>
              </w:rPr>
            </w:pPr>
            <w:r w:rsidRPr="00FD57B3">
              <w:rPr>
                <w:sz w:val="28"/>
                <w:szCs w:val="28"/>
              </w:rPr>
              <w:t>(Modul)tovholder</w:t>
            </w:r>
          </w:p>
        </w:tc>
        <w:tc>
          <w:tcPr>
            <w:tcW w:w="7503" w:type="dxa"/>
          </w:tcPr>
          <w:p w:rsidR="006E7EB0" w:rsidRPr="00FD57B3" w:rsidRDefault="006A6173" w:rsidP="00057B3A">
            <w:pPr>
              <w:rPr>
                <w:sz w:val="28"/>
                <w:szCs w:val="28"/>
              </w:rPr>
            </w:pPr>
            <w:r>
              <w:rPr>
                <w:sz w:val="28"/>
                <w:szCs w:val="28"/>
              </w:rPr>
              <w:t>xxx</w:t>
            </w:r>
          </w:p>
        </w:tc>
      </w:tr>
      <w:tr w:rsidR="006E7EB0" w:rsidRPr="00FD57B3" w:rsidTr="00057B3A">
        <w:tc>
          <w:tcPr>
            <w:tcW w:w="2243" w:type="dxa"/>
            <w:shd w:val="clear" w:color="auto" w:fill="95B3D7" w:themeFill="accent1" w:themeFillTint="99"/>
          </w:tcPr>
          <w:p w:rsidR="006E7EB0" w:rsidRPr="00FD57B3" w:rsidRDefault="006E7EB0" w:rsidP="00057B3A">
            <w:pPr>
              <w:rPr>
                <w:sz w:val="28"/>
                <w:szCs w:val="28"/>
              </w:rPr>
            </w:pPr>
            <w:r>
              <w:rPr>
                <w:sz w:val="28"/>
                <w:szCs w:val="28"/>
              </w:rPr>
              <w:t>Svarprocent</w:t>
            </w:r>
          </w:p>
        </w:tc>
        <w:tc>
          <w:tcPr>
            <w:tcW w:w="7503" w:type="dxa"/>
          </w:tcPr>
          <w:p w:rsidR="006E7EB0" w:rsidRPr="00FD57B3" w:rsidRDefault="009D342D" w:rsidP="00057B3A">
            <w:pPr>
              <w:rPr>
                <w:sz w:val="28"/>
                <w:szCs w:val="28"/>
              </w:rPr>
            </w:pPr>
            <w:r>
              <w:rPr>
                <w:sz w:val="28"/>
                <w:szCs w:val="28"/>
              </w:rPr>
              <w:t>18%</w:t>
            </w:r>
          </w:p>
        </w:tc>
      </w:tr>
    </w:tbl>
    <w:p w:rsidR="006E7EB0" w:rsidRPr="00FD57B3" w:rsidRDefault="006E7EB0" w:rsidP="006E7EB0">
      <w:pPr>
        <w:rPr>
          <w:sz w:val="28"/>
          <w:szCs w:val="28"/>
        </w:rPr>
      </w:pPr>
    </w:p>
    <w:tbl>
      <w:tblPr>
        <w:tblStyle w:val="Tabel-Gitter"/>
        <w:tblW w:w="0" w:type="auto"/>
        <w:tblInd w:w="108" w:type="dxa"/>
        <w:tblLook w:val="04A0" w:firstRow="1" w:lastRow="0" w:firstColumn="1" w:lastColumn="0" w:noHBand="0" w:noVBand="1"/>
      </w:tblPr>
      <w:tblGrid>
        <w:gridCol w:w="9670"/>
      </w:tblGrid>
      <w:tr w:rsidR="006E7EB0" w:rsidRPr="00FD57B3" w:rsidTr="00057B3A">
        <w:tc>
          <w:tcPr>
            <w:tcW w:w="9670" w:type="dxa"/>
            <w:shd w:val="clear" w:color="auto" w:fill="95B3D7" w:themeFill="accent1" w:themeFillTint="99"/>
          </w:tcPr>
          <w:p w:rsidR="006E7EB0" w:rsidRPr="00FD57B3" w:rsidRDefault="006E7EB0" w:rsidP="00057B3A">
            <w:pPr>
              <w:rPr>
                <w:sz w:val="28"/>
                <w:szCs w:val="28"/>
              </w:rPr>
            </w:pPr>
            <w:r>
              <w:rPr>
                <w:sz w:val="28"/>
                <w:szCs w:val="28"/>
              </w:rPr>
              <w:t>Hvilke positive elementer var der i evalueringen?</w:t>
            </w:r>
          </w:p>
        </w:tc>
      </w:tr>
      <w:tr w:rsidR="006E7EB0" w:rsidRPr="00FD57B3" w:rsidTr="00057B3A">
        <w:tc>
          <w:tcPr>
            <w:tcW w:w="9670" w:type="dxa"/>
            <w:tcBorders>
              <w:bottom w:val="single" w:sz="4" w:space="0" w:color="auto"/>
            </w:tcBorders>
          </w:tcPr>
          <w:p w:rsidR="006E7EB0" w:rsidRPr="00FD57B3" w:rsidRDefault="009D342D" w:rsidP="00057B3A">
            <w:pPr>
              <w:rPr>
                <w:sz w:val="28"/>
                <w:szCs w:val="28"/>
              </w:rPr>
            </w:pPr>
            <w:r>
              <w:rPr>
                <w:sz w:val="28"/>
                <w:szCs w:val="28"/>
              </w:rPr>
              <w:t xml:space="preserve">De fleste, knap 80% var enig i at der var en </w:t>
            </w:r>
            <w:proofErr w:type="spellStart"/>
            <w:r>
              <w:rPr>
                <w:sz w:val="28"/>
                <w:szCs w:val="28"/>
              </w:rPr>
              <w:t>sammehæng</w:t>
            </w:r>
            <w:proofErr w:type="spellEnd"/>
            <w:r>
              <w:rPr>
                <w:sz w:val="28"/>
                <w:szCs w:val="28"/>
              </w:rPr>
              <w:t xml:space="preserve"> i Modulets mål og undervisningens indhold. Over 95% angav, at de havde fået viden, færdigheder og kompetence som de oplever brugbare for deres videre studie og kommende profession. Modulskemaet har været fyldestgørende og der har været tilstrækkelig information om praktiske forhold vedrørende undervisningen. </w:t>
            </w:r>
          </w:p>
        </w:tc>
      </w:tr>
      <w:tr w:rsidR="006E7EB0" w:rsidRPr="00FD57B3" w:rsidTr="00057B3A">
        <w:tc>
          <w:tcPr>
            <w:tcW w:w="9670" w:type="dxa"/>
            <w:shd w:val="clear" w:color="auto" w:fill="95B3D7" w:themeFill="accent1" w:themeFillTint="99"/>
          </w:tcPr>
          <w:p w:rsidR="006E7EB0" w:rsidRPr="00FD57B3" w:rsidRDefault="006E7EB0" w:rsidP="00057B3A">
            <w:pPr>
              <w:rPr>
                <w:sz w:val="28"/>
                <w:szCs w:val="28"/>
              </w:rPr>
            </w:pPr>
            <w:r w:rsidRPr="00FD57B3">
              <w:rPr>
                <w:sz w:val="28"/>
                <w:szCs w:val="28"/>
              </w:rPr>
              <w:t xml:space="preserve">Hvilke negative </w:t>
            </w:r>
            <w:r>
              <w:rPr>
                <w:sz w:val="28"/>
                <w:szCs w:val="28"/>
              </w:rPr>
              <w:t>elementer var der i evalueringen</w:t>
            </w:r>
          </w:p>
        </w:tc>
      </w:tr>
      <w:tr w:rsidR="006E7EB0" w:rsidRPr="00FD57B3" w:rsidTr="00057B3A">
        <w:tc>
          <w:tcPr>
            <w:tcW w:w="9670" w:type="dxa"/>
          </w:tcPr>
          <w:p w:rsidR="006E7EB0" w:rsidRPr="00FD57B3" w:rsidRDefault="009D342D" w:rsidP="00057B3A">
            <w:pPr>
              <w:rPr>
                <w:sz w:val="28"/>
                <w:szCs w:val="28"/>
              </w:rPr>
            </w:pPr>
            <w:r>
              <w:rPr>
                <w:sz w:val="28"/>
                <w:szCs w:val="28"/>
              </w:rPr>
              <w:t xml:space="preserve">En del studenter har angivet, at de ønskede mere undervisning om ernæring. En hel del har angivet at den </w:t>
            </w:r>
            <w:proofErr w:type="spellStart"/>
            <w:r>
              <w:rPr>
                <w:sz w:val="28"/>
                <w:szCs w:val="28"/>
              </w:rPr>
              <w:t>caseorienterede</w:t>
            </w:r>
            <w:proofErr w:type="spellEnd"/>
            <w:r>
              <w:rPr>
                <w:sz w:val="28"/>
                <w:szCs w:val="28"/>
              </w:rPr>
              <w:t xml:space="preserve"> undervisning var rodet og ”larmende”, da det foregik i et stort fælleslokale.</w:t>
            </w:r>
          </w:p>
        </w:tc>
      </w:tr>
      <w:tr w:rsidR="006E7EB0" w:rsidRPr="00FD57B3" w:rsidTr="00057B3A">
        <w:tc>
          <w:tcPr>
            <w:tcW w:w="9670" w:type="dxa"/>
            <w:shd w:val="clear" w:color="auto" w:fill="8DB3E2" w:themeFill="text2" w:themeFillTint="66"/>
          </w:tcPr>
          <w:p w:rsidR="006E7EB0" w:rsidRPr="00FD57B3" w:rsidRDefault="006E7EB0" w:rsidP="00057B3A">
            <w:pPr>
              <w:rPr>
                <w:sz w:val="28"/>
                <w:szCs w:val="28"/>
              </w:rPr>
            </w:pPr>
            <w:r>
              <w:rPr>
                <w:sz w:val="28"/>
                <w:szCs w:val="28"/>
              </w:rPr>
              <w:t>Hvilke forslag til forbedringer fremgik af evalueringen?</w:t>
            </w:r>
          </w:p>
        </w:tc>
      </w:tr>
      <w:tr w:rsidR="006E7EB0" w:rsidRPr="00FD57B3" w:rsidTr="006A6173">
        <w:trPr>
          <w:trHeight w:val="932"/>
        </w:trPr>
        <w:tc>
          <w:tcPr>
            <w:tcW w:w="9670" w:type="dxa"/>
          </w:tcPr>
          <w:p w:rsidR="006E7EB0" w:rsidRPr="00FD57B3" w:rsidRDefault="009D342D" w:rsidP="00057B3A">
            <w:pPr>
              <w:rPr>
                <w:sz w:val="28"/>
                <w:szCs w:val="28"/>
              </w:rPr>
            </w:pPr>
            <w:r>
              <w:rPr>
                <w:sz w:val="28"/>
                <w:szCs w:val="28"/>
              </w:rPr>
              <w:t xml:space="preserve">Det er foreslået, at undervisningen omkring </w:t>
            </w:r>
            <w:r w:rsidR="006A6173">
              <w:rPr>
                <w:sz w:val="28"/>
                <w:szCs w:val="28"/>
              </w:rPr>
              <w:t>f.eks.</w:t>
            </w:r>
            <w:bookmarkStart w:id="0" w:name="_GoBack"/>
            <w:bookmarkEnd w:id="0"/>
            <w:r>
              <w:rPr>
                <w:sz w:val="28"/>
                <w:szCs w:val="28"/>
              </w:rPr>
              <w:t xml:space="preserve"> diabetes ligger i en sammenhæng ud over flere forskellige uger. </w:t>
            </w:r>
          </w:p>
        </w:tc>
      </w:tr>
    </w:tbl>
    <w:p w:rsidR="006E7EB0" w:rsidRPr="00FD57B3" w:rsidRDefault="006E7EB0" w:rsidP="006E7EB0">
      <w:pPr>
        <w:rPr>
          <w:sz w:val="28"/>
          <w:szCs w:val="28"/>
        </w:rPr>
      </w:pPr>
    </w:p>
    <w:tbl>
      <w:tblPr>
        <w:tblStyle w:val="Tabel-Gitter"/>
        <w:tblW w:w="0" w:type="auto"/>
        <w:tblInd w:w="108" w:type="dxa"/>
        <w:shd w:val="clear" w:color="auto" w:fill="4BACC6" w:themeFill="accent5"/>
        <w:tblLook w:val="04A0" w:firstRow="1" w:lastRow="0" w:firstColumn="1" w:lastColumn="0" w:noHBand="0" w:noVBand="1"/>
      </w:tblPr>
      <w:tblGrid>
        <w:gridCol w:w="2598"/>
        <w:gridCol w:w="2436"/>
        <w:gridCol w:w="2700"/>
        <w:gridCol w:w="2006"/>
      </w:tblGrid>
      <w:tr w:rsidR="006E7EB0" w:rsidRPr="00FD57B3" w:rsidTr="00057B3A">
        <w:tc>
          <w:tcPr>
            <w:tcW w:w="7734" w:type="dxa"/>
            <w:gridSpan w:val="3"/>
            <w:tcBorders>
              <w:bottom w:val="single" w:sz="4" w:space="0" w:color="auto"/>
            </w:tcBorders>
            <w:shd w:val="clear" w:color="auto" w:fill="95B3D7" w:themeFill="accent1" w:themeFillTint="99"/>
          </w:tcPr>
          <w:p w:rsidR="006E7EB0" w:rsidRPr="00665824" w:rsidRDefault="006E7EB0" w:rsidP="00057B3A">
            <w:pPr>
              <w:rPr>
                <w:sz w:val="28"/>
                <w:szCs w:val="28"/>
              </w:rPr>
            </w:pPr>
            <w:r>
              <w:rPr>
                <w:sz w:val="28"/>
                <w:szCs w:val="28"/>
              </w:rPr>
              <w:t>Bemærkning til evalueringsresultaterne</w:t>
            </w:r>
          </w:p>
        </w:tc>
        <w:tc>
          <w:tcPr>
            <w:tcW w:w="2006" w:type="dxa"/>
            <w:tcBorders>
              <w:bottom w:val="single" w:sz="4" w:space="0" w:color="auto"/>
            </w:tcBorders>
            <w:shd w:val="clear" w:color="auto" w:fill="95B3D7" w:themeFill="accent1" w:themeFillTint="99"/>
          </w:tcPr>
          <w:p w:rsidR="006E7EB0" w:rsidRDefault="006E7EB0" w:rsidP="00057B3A">
            <w:pPr>
              <w:rPr>
                <w:sz w:val="28"/>
                <w:szCs w:val="28"/>
              </w:rPr>
            </w:pPr>
          </w:p>
        </w:tc>
      </w:tr>
      <w:tr w:rsidR="006E7EB0" w:rsidRPr="00FD57B3" w:rsidTr="00057B3A">
        <w:trPr>
          <w:trHeight w:val="161"/>
        </w:trPr>
        <w:tc>
          <w:tcPr>
            <w:tcW w:w="2598" w:type="dxa"/>
            <w:shd w:val="clear" w:color="auto" w:fill="FFFFFF" w:themeFill="background1"/>
          </w:tcPr>
          <w:p w:rsidR="006E7EB0" w:rsidRPr="00547453" w:rsidRDefault="006E7EB0" w:rsidP="00057B3A">
            <w:pPr>
              <w:rPr>
                <w:sz w:val="20"/>
                <w:szCs w:val="28"/>
              </w:rPr>
            </w:pPr>
            <w:r w:rsidRPr="00547453">
              <w:rPr>
                <w:sz w:val="20"/>
                <w:szCs w:val="28"/>
              </w:rPr>
              <w:t>Fra modulansvarlig</w:t>
            </w:r>
          </w:p>
        </w:tc>
        <w:tc>
          <w:tcPr>
            <w:tcW w:w="2436" w:type="dxa"/>
            <w:shd w:val="clear" w:color="auto" w:fill="FFFFFF" w:themeFill="background1"/>
          </w:tcPr>
          <w:p w:rsidR="006E7EB0" w:rsidRPr="00547453" w:rsidRDefault="006E7EB0" w:rsidP="00057B3A">
            <w:pPr>
              <w:rPr>
                <w:sz w:val="20"/>
                <w:szCs w:val="28"/>
              </w:rPr>
            </w:pPr>
            <w:r w:rsidRPr="00547453">
              <w:rPr>
                <w:sz w:val="20"/>
                <w:szCs w:val="28"/>
              </w:rPr>
              <w:t>Fra studieleder</w:t>
            </w:r>
          </w:p>
        </w:tc>
        <w:tc>
          <w:tcPr>
            <w:tcW w:w="2700" w:type="dxa"/>
            <w:shd w:val="clear" w:color="auto" w:fill="FFFFFF" w:themeFill="background1"/>
          </w:tcPr>
          <w:p w:rsidR="006E7EB0" w:rsidRPr="00547453" w:rsidRDefault="006E7EB0" w:rsidP="00057B3A">
            <w:pPr>
              <w:rPr>
                <w:sz w:val="20"/>
                <w:szCs w:val="28"/>
              </w:rPr>
            </w:pPr>
            <w:r w:rsidRPr="00547453">
              <w:rPr>
                <w:sz w:val="20"/>
                <w:szCs w:val="28"/>
              </w:rPr>
              <w:t>Fra studiekoordinator</w:t>
            </w:r>
          </w:p>
        </w:tc>
        <w:tc>
          <w:tcPr>
            <w:tcW w:w="2006" w:type="dxa"/>
            <w:shd w:val="clear" w:color="auto" w:fill="FFFFFF" w:themeFill="background1"/>
          </w:tcPr>
          <w:p w:rsidR="006E7EB0" w:rsidRPr="00547453" w:rsidRDefault="006E7EB0" w:rsidP="00057B3A">
            <w:pPr>
              <w:rPr>
                <w:sz w:val="20"/>
                <w:szCs w:val="28"/>
              </w:rPr>
            </w:pPr>
            <w:r w:rsidRPr="00547453">
              <w:rPr>
                <w:sz w:val="20"/>
                <w:szCs w:val="28"/>
              </w:rPr>
              <w:t>Fra modulsekretær</w:t>
            </w:r>
          </w:p>
        </w:tc>
      </w:tr>
      <w:tr w:rsidR="006E7EB0" w:rsidRPr="00FD57B3" w:rsidTr="00057B3A">
        <w:trPr>
          <w:trHeight w:val="1230"/>
        </w:trPr>
        <w:tc>
          <w:tcPr>
            <w:tcW w:w="2598" w:type="dxa"/>
            <w:shd w:val="clear" w:color="auto" w:fill="FFFFFF" w:themeFill="background1"/>
          </w:tcPr>
          <w:p w:rsidR="006E7EB0" w:rsidRPr="00FD57B3" w:rsidRDefault="006E7EB0" w:rsidP="00057B3A">
            <w:pPr>
              <w:rPr>
                <w:sz w:val="28"/>
                <w:szCs w:val="28"/>
              </w:rPr>
            </w:pPr>
          </w:p>
        </w:tc>
        <w:tc>
          <w:tcPr>
            <w:tcW w:w="2436" w:type="dxa"/>
            <w:shd w:val="clear" w:color="auto" w:fill="FFFFFF" w:themeFill="background1"/>
          </w:tcPr>
          <w:p w:rsidR="006E7EB0" w:rsidRPr="00FD57B3" w:rsidRDefault="006E7EB0" w:rsidP="00057B3A">
            <w:pPr>
              <w:rPr>
                <w:sz w:val="28"/>
                <w:szCs w:val="28"/>
              </w:rPr>
            </w:pPr>
          </w:p>
        </w:tc>
        <w:tc>
          <w:tcPr>
            <w:tcW w:w="2700" w:type="dxa"/>
            <w:shd w:val="clear" w:color="auto" w:fill="FFFFFF" w:themeFill="background1"/>
          </w:tcPr>
          <w:p w:rsidR="006E7EB0" w:rsidRPr="00FD57B3" w:rsidRDefault="006E7EB0" w:rsidP="00057B3A">
            <w:pPr>
              <w:rPr>
                <w:sz w:val="28"/>
                <w:szCs w:val="28"/>
              </w:rPr>
            </w:pPr>
          </w:p>
        </w:tc>
        <w:tc>
          <w:tcPr>
            <w:tcW w:w="2006" w:type="dxa"/>
            <w:shd w:val="clear" w:color="auto" w:fill="FFFFFF" w:themeFill="background1"/>
          </w:tcPr>
          <w:p w:rsidR="006E7EB0" w:rsidRPr="00FD57B3" w:rsidRDefault="006E7EB0" w:rsidP="00057B3A">
            <w:pPr>
              <w:rPr>
                <w:sz w:val="28"/>
                <w:szCs w:val="28"/>
              </w:rPr>
            </w:pPr>
          </w:p>
        </w:tc>
      </w:tr>
    </w:tbl>
    <w:p w:rsidR="006E7EB0" w:rsidRPr="00FD57B3" w:rsidRDefault="006E7EB0" w:rsidP="006E7EB0">
      <w:pPr>
        <w:jc w:val="center"/>
        <w:rPr>
          <w:sz w:val="28"/>
          <w:szCs w:val="28"/>
        </w:rPr>
      </w:pPr>
    </w:p>
    <w:tbl>
      <w:tblPr>
        <w:tblStyle w:val="Tabel-Gitter"/>
        <w:tblW w:w="0" w:type="auto"/>
        <w:tblInd w:w="108" w:type="dxa"/>
        <w:shd w:val="clear" w:color="auto" w:fill="4BACC6" w:themeFill="accent5"/>
        <w:tblLook w:val="04A0" w:firstRow="1" w:lastRow="0" w:firstColumn="1" w:lastColumn="0" w:noHBand="0" w:noVBand="1"/>
      </w:tblPr>
      <w:tblGrid>
        <w:gridCol w:w="9670"/>
      </w:tblGrid>
      <w:tr w:rsidR="006E7EB0" w:rsidRPr="00FD57B3" w:rsidTr="00057B3A">
        <w:tc>
          <w:tcPr>
            <w:tcW w:w="9670" w:type="dxa"/>
            <w:tcBorders>
              <w:bottom w:val="single" w:sz="4" w:space="0" w:color="auto"/>
            </w:tcBorders>
            <w:shd w:val="clear" w:color="auto" w:fill="95B3D7" w:themeFill="accent1" w:themeFillTint="99"/>
          </w:tcPr>
          <w:p w:rsidR="006E7EB0" w:rsidRPr="00FD57B3" w:rsidRDefault="006E7EB0" w:rsidP="00057B3A">
            <w:pPr>
              <w:jc w:val="center"/>
              <w:rPr>
                <w:sz w:val="28"/>
                <w:szCs w:val="28"/>
              </w:rPr>
            </w:pPr>
            <w:r>
              <w:rPr>
                <w:b/>
                <w:sz w:val="28"/>
                <w:szCs w:val="28"/>
              </w:rPr>
              <w:t>Hvad er din handleplan som følge af evalueringen?</w:t>
            </w:r>
          </w:p>
        </w:tc>
      </w:tr>
      <w:tr w:rsidR="006E7EB0" w:rsidRPr="00FD57B3" w:rsidTr="006A6173">
        <w:trPr>
          <w:trHeight w:val="1988"/>
        </w:trPr>
        <w:tc>
          <w:tcPr>
            <w:tcW w:w="9670" w:type="dxa"/>
            <w:shd w:val="clear" w:color="auto" w:fill="FFFFFF" w:themeFill="background1"/>
          </w:tcPr>
          <w:p w:rsidR="006E7EB0" w:rsidRDefault="009D342D" w:rsidP="00057B3A">
            <w:pPr>
              <w:rPr>
                <w:sz w:val="28"/>
                <w:szCs w:val="28"/>
              </w:rPr>
            </w:pPr>
            <w:r>
              <w:rPr>
                <w:sz w:val="28"/>
                <w:szCs w:val="28"/>
              </w:rPr>
              <w:t xml:space="preserve">Modul K6 ophører fra i år og overgår til nyt modul, der er lagt sammen med </w:t>
            </w:r>
            <w:proofErr w:type="spellStart"/>
            <w:r>
              <w:rPr>
                <w:sz w:val="28"/>
                <w:szCs w:val="28"/>
              </w:rPr>
              <w:t>Gastroenterologien</w:t>
            </w:r>
            <w:proofErr w:type="spellEnd"/>
            <w:r>
              <w:rPr>
                <w:sz w:val="28"/>
                <w:szCs w:val="28"/>
              </w:rPr>
              <w:t xml:space="preserve">. I denne forbindelse vil der ske adskillige ændringer i undervisningen, såvel undervisningens form som afsat tid til undervisning. </w:t>
            </w:r>
          </w:p>
          <w:p w:rsidR="009D342D" w:rsidRPr="00FD57B3" w:rsidRDefault="009D342D" w:rsidP="00057B3A">
            <w:pPr>
              <w:rPr>
                <w:sz w:val="28"/>
                <w:szCs w:val="28"/>
              </w:rPr>
            </w:pPr>
            <w:r>
              <w:rPr>
                <w:sz w:val="28"/>
                <w:szCs w:val="28"/>
              </w:rPr>
              <w:t xml:space="preserve">Det giver derfor ikke mening at lave en handleplan ud fra den nuværende evaluering fra det sidste Modul K6. </w:t>
            </w:r>
          </w:p>
          <w:p w:rsidR="006E7EB0" w:rsidRPr="00FD57B3" w:rsidRDefault="006E7EB0" w:rsidP="00057B3A">
            <w:pPr>
              <w:rPr>
                <w:sz w:val="28"/>
                <w:szCs w:val="28"/>
              </w:rPr>
            </w:pPr>
          </w:p>
          <w:p w:rsidR="006E7EB0" w:rsidRPr="00FD57B3" w:rsidRDefault="006E7EB0" w:rsidP="00057B3A">
            <w:pPr>
              <w:rPr>
                <w:sz w:val="28"/>
                <w:szCs w:val="28"/>
              </w:rPr>
            </w:pPr>
          </w:p>
        </w:tc>
      </w:tr>
    </w:tbl>
    <w:p w:rsidR="00B15B95" w:rsidRPr="006E7EB0" w:rsidRDefault="006A6173" w:rsidP="006E7EB0"/>
    <w:sectPr w:rsidR="00B15B95" w:rsidRPr="006E7EB0" w:rsidSect="00F9459B">
      <w:footerReference w:type="even" r:id="rId6"/>
      <w:foot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FD2" w:rsidRDefault="00801EC8">
      <w:r>
        <w:separator/>
      </w:r>
    </w:p>
  </w:endnote>
  <w:endnote w:type="continuationSeparator" w:id="0">
    <w:p w:rsidR="007A6FD2" w:rsidRDefault="0080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ABE" w:rsidRDefault="006E7EB0" w:rsidP="00B1582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D94ABE" w:rsidRDefault="006A6173" w:rsidP="00B1582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ABE" w:rsidRDefault="006E7EB0" w:rsidP="00B1582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55D64">
      <w:rPr>
        <w:rStyle w:val="Sidetal"/>
        <w:noProof/>
      </w:rPr>
      <w:t>1</w:t>
    </w:r>
    <w:r>
      <w:rPr>
        <w:rStyle w:val="Sidetal"/>
      </w:rPr>
      <w:fldChar w:fldCharType="end"/>
    </w:r>
  </w:p>
  <w:p w:rsidR="00D94ABE" w:rsidRDefault="006A6173" w:rsidP="00B1582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FD2" w:rsidRDefault="00801EC8">
      <w:r>
        <w:separator/>
      </w:r>
    </w:p>
  </w:footnote>
  <w:footnote w:type="continuationSeparator" w:id="0">
    <w:p w:rsidR="007A6FD2" w:rsidRDefault="00801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EB0"/>
    <w:rsid w:val="005602B6"/>
    <w:rsid w:val="006A6173"/>
    <w:rsid w:val="006E7EB0"/>
    <w:rsid w:val="00755DE9"/>
    <w:rsid w:val="007A6FD2"/>
    <w:rsid w:val="00801EC8"/>
    <w:rsid w:val="009D342D"/>
    <w:rsid w:val="00B55D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5253"/>
  <w15:docId w15:val="{C55C37ED-140B-4E77-B619-671D3382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EB0"/>
    <w:pPr>
      <w:spacing w:after="0" w:line="240" w:lineRule="auto"/>
    </w:pPr>
    <w:rPr>
      <w:rFonts w:eastAsiaTheme="minorEastAsia"/>
      <w:sz w:val="24"/>
      <w:szCs w:val="24"/>
      <w:lang w:eastAsia="da-DK"/>
    </w:rPr>
  </w:style>
  <w:style w:type="paragraph" w:styleId="Overskrift1">
    <w:name w:val="heading 1"/>
    <w:basedOn w:val="Normal"/>
    <w:next w:val="Normal"/>
    <w:link w:val="Overskrift1Tegn"/>
    <w:uiPriority w:val="9"/>
    <w:qFormat/>
    <w:rsid w:val="006E7E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E7EB0"/>
    <w:rPr>
      <w:rFonts w:asciiTheme="majorHAnsi" w:eastAsiaTheme="majorEastAsia" w:hAnsiTheme="majorHAnsi" w:cstheme="majorBidi"/>
      <w:b/>
      <w:bCs/>
      <w:color w:val="365F91" w:themeColor="accent1" w:themeShade="BF"/>
      <w:sz w:val="28"/>
      <w:szCs w:val="28"/>
    </w:rPr>
  </w:style>
  <w:style w:type="paragraph" w:styleId="Sidefod">
    <w:name w:val="footer"/>
    <w:basedOn w:val="Normal"/>
    <w:link w:val="SidefodTegn"/>
    <w:uiPriority w:val="99"/>
    <w:unhideWhenUsed/>
    <w:rsid w:val="006E7EB0"/>
    <w:pPr>
      <w:tabs>
        <w:tab w:val="center" w:pos="4819"/>
        <w:tab w:val="right" w:pos="9638"/>
      </w:tabs>
    </w:pPr>
  </w:style>
  <w:style w:type="character" w:customStyle="1" w:styleId="SidefodTegn">
    <w:name w:val="Sidefod Tegn"/>
    <w:basedOn w:val="Standardskrifttypeiafsnit"/>
    <w:link w:val="Sidefod"/>
    <w:uiPriority w:val="99"/>
    <w:rsid w:val="006E7EB0"/>
    <w:rPr>
      <w:rFonts w:eastAsiaTheme="minorEastAsia"/>
      <w:sz w:val="24"/>
      <w:szCs w:val="24"/>
      <w:lang w:eastAsia="da-DK"/>
    </w:rPr>
  </w:style>
  <w:style w:type="character" w:styleId="Sidetal">
    <w:name w:val="page number"/>
    <w:basedOn w:val="Standardskrifttypeiafsnit"/>
    <w:uiPriority w:val="99"/>
    <w:semiHidden/>
    <w:unhideWhenUsed/>
    <w:rsid w:val="006E7EB0"/>
  </w:style>
  <w:style w:type="table" w:styleId="Tabel-Gitter">
    <w:name w:val="Table Grid"/>
    <w:basedOn w:val="Tabel-Normal"/>
    <w:uiPriority w:val="59"/>
    <w:rsid w:val="006E7EB0"/>
    <w:pPr>
      <w:spacing w:after="0" w:line="240" w:lineRule="auto"/>
    </w:pPr>
    <w:rPr>
      <w:rFonts w:eastAsiaTheme="minorEastAsia"/>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1E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Krogh Andersen</dc:creator>
  <cp:lastModifiedBy>Anne-Sofie Holm Arnoldus</cp:lastModifiedBy>
  <cp:revision>3</cp:revision>
  <dcterms:created xsi:type="dcterms:W3CDTF">2018-01-15T13:11:00Z</dcterms:created>
  <dcterms:modified xsi:type="dcterms:W3CDTF">2019-07-17T11:22:00Z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{93D08C50-2D04-4F54-B4F1-07E12F996613}</vt:lpwstr>
  </property>
</Properties>
</file>