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EB0" w:rsidRPr="00DC352C" w:rsidRDefault="006E7EB0" w:rsidP="006E7EB0">
      <w:pPr>
        <w:pStyle w:val="Overskrift1"/>
        <w:rPr>
          <w:rFonts w:asciiTheme="minorHAnsi" w:hAnsiTheme="minorHAnsi"/>
          <w:color w:val="auto"/>
        </w:rPr>
      </w:pPr>
      <w:r>
        <w:rPr>
          <w:rFonts w:asciiTheme="minorHAnsi" w:hAnsiTheme="minorHAnsi"/>
          <w:color w:val="auto"/>
        </w:rPr>
        <w:t>BILAG 4:</w:t>
      </w:r>
      <w:r w:rsidR="00447664">
        <w:rPr>
          <w:rFonts w:asciiTheme="minorHAnsi" w:hAnsiTheme="minorHAnsi"/>
          <w:color w:val="auto"/>
        </w:rPr>
        <w:t xml:space="preserve"> H</w:t>
      </w:r>
      <w:r>
        <w:rPr>
          <w:rFonts w:asciiTheme="minorHAnsi" w:hAnsiTheme="minorHAnsi"/>
          <w:color w:val="auto"/>
        </w:rPr>
        <w:t>andleplan</w:t>
      </w:r>
    </w:p>
    <w:p w:rsidR="00801EC8" w:rsidRPr="00FD57B3" w:rsidRDefault="00801EC8" w:rsidP="006E7EB0">
      <w:pPr>
        <w:rPr>
          <w:sz w:val="28"/>
          <w:szCs w:val="28"/>
        </w:rPr>
      </w:pPr>
    </w:p>
    <w:tbl>
      <w:tblPr>
        <w:tblStyle w:val="Tabel-Gitter"/>
        <w:tblW w:w="0" w:type="auto"/>
        <w:tblInd w:w="108" w:type="dxa"/>
        <w:tblLook w:val="04A0" w:firstRow="1" w:lastRow="0" w:firstColumn="1" w:lastColumn="0" w:noHBand="0" w:noVBand="1"/>
      </w:tblPr>
      <w:tblGrid>
        <w:gridCol w:w="2243"/>
        <w:gridCol w:w="7497"/>
      </w:tblGrid>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sidRPr="00FD57B3">
              <w:rPr>
                <w:sz w:val="28"/>
                <w:szCs w:val="28"/>
              </w:rPr>
              <w:t>Fag</w:t>
            </w:r>
          </w:p>
        </w:tc>
        <w:tc>
          <w:tcPr>
            <w:tcW w:w="7503" w:type="dxa"/>
          </w:tcPr>
          <w:p w:rsidR="006E7EB0" w:rsidRPr="00FD57B3" w:rsidRDefault="00E36EC6" w:rsidP="00057B3A">
            <w:pPr>
              <w:rPr>
                <w:sz w:val="28"/>
                <w:szCs w:val="28"/>
              </w:rPr>
            </w:pPr>
            <w:r>
              <w:rPr>
                <w:sz w:val="28"/>
                <w:szCs w:val="28"/>
              </w:rPr>
              <w:t>K2</w:t>
            </w:r>
          </w:p>
        </w:tc>
      </w:tr>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sidRPr="00FD57B3">
              <w:rPr>
                <w:sz w:val="28"/>
                <w:szCs w:val="28"/>
              </w:rPr>
              <w:t>Dato</w:t>
            </w:r>
          </w:p>
        </w:tc>
        <w:tc>
          <w:tcPr>
            <w:tcW w:w="7503" w:type="dxa"/>
          </w:tcPr>
          <w:p w:rsidR="006E7EB0" w:rsidRPr="00FD57B3" w:rsidRDefault="00E36EC6" w:rsidP="00057B3A">
            <w:pPr>
              <w:rPr>
                <w:sz w:val="28"/>
                <w:szCs w:val="28"/>
              </w:rPr>
            </w:pPr>
            <w:r>
              <w:rPr>
                <w:sz w:val="28"/>
                <w:szCs w:val="28"/>
              </w:rPr>
              <w:t>8/3 2018</w:t>
            </w:r>
          </w:p>
        </w:tc>
      </w:tr>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sidRPr="00FD57B3">
              <w:rPr>
                <w:sz w:val="28"/>
                <w:szCs w:val="28"/>
              </w:rPr>
              <w:t>(Modul)tovholder</w:t>
            </w:r>
          </w:p>
        </w:tc>
        <w:tc>
          <w:tcPr>
            <w:tcW w:w="7503" w:type="dxa"/>
          </w:tcPr>
          <w:p w:rsidR="006E7EB0" w:rsidRPr="00FD57B3" w:rsidRDefault="00447664" w:rsidP="00057B3A">
            <w:pPr>
              <w:rPr>
                <w:sz w:val="28"/>
                <w:szCs w:val="28"/>
              </w:rPr>
            </w:pPr>
            <w:r>
              <w:rPr>
                <w:sz w:val="28"/>
                <w:szCs w:val="28"/>
              </w:rPr>
              <w:t>xxx</w:t>
            </w:r>
          </w:p>
        </w:tc>
      </w:tr>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Pr>
                <w:sz w:val="28"/>
                <w:szCs w:val="28"/>
              </w:rPr>
              <w:t>Svarprocent</w:t>
            </w:r>
          </w:p>
        </w:tc>
        <w:tc>
          <w:tcPr>
            <w:tcW w:w="7503" w:type="dxa"/>
          </w:tcPr>
          <w:p w:rsidR="006E7EB0" w:rsidRPr="00FD57B3" w:rsidRDefault="00E36EC6" w:rsidP="00057B3A">
            <w:pPr>
              <w:rPr>
                <w:sz w:val="28"/>
                <w:szCs w:val="28"/>
              </w:rPr>
            </w:pPr>
            <w:r>
              <w:rPr>
                <w:sz w:val="28"/>
                <w:szCs w:val="28"/>
              </w:rPr>
              <w:t>35%</w:t>
            </w:r>
          </w:p>
        </w:tc>
      </w:tr>
    </w:tbl>
    <w:p w:rsidR="006E7EB0" w:rsidRPr="00FD57B3" w:rsidRDefault="006E7EB0" w:rsidP="006E7EB0">
      <w:pPr>
        <w:rPr>
          <w:sz w:val="28"/>
          <w:szCs w:val="28"/>
        </w:rPr>
      </w:pPr>
    </w:p>
    <w:tbl>
      <w:tblPr>
        <w:tblStyle w:val="Tabel-Gitter"/>
        <w:tblW w:w="0" w:type="auto"/>
        <w:tblInd w:w="108" w:type="dxa"/>
        <w:tblLook w:val="04A0" w:firstRow="1" w:lastRow="0" w:firstColumn="1" w:lastColumn="0" w:noHBand="0" w:noVBand="1"/>
      </w:tblPr>
      <w:tblGrid>
        <w:gridCol w:w="9670"/>
      </w:tblGrid>
      <w:tr w:rsidR="006E7EB0" w:rsidRPr="00FD57B3" w:rsidTr="00057B3A">
        <w:tc>
          <w:tcPr>
            <w:tcW w:w="9670" w:type="dxa"/>
            <w:shd w:val="clear" w:color="auto" w:fill="95B3D7" w:themeFill="accent1" w:themeFillTint="99"/>
          </w:tcPr>
          <w:p w:rsidR="006E7EB0" w:rsidRPr="00FD57B3" w:rsidRDefault="006E7EB0" w:rsidP="00057B3A">
            <w:pPr>
              <w:rPr>
                <w:sz w:val="28"/>
                <w:szCs w:val="28"/>
              </w:rPr>
            </w:pPr>
            <w:r>
              <w:rPr>
                <w:sz w:val="28"/>
                <w:szCs w:val="28"/>
              </w:rPr>
              <w:t>Hvilke positive elementer var der i evalueringen?</w:t>
            </w:r>
          </w:p>
        </w:tc>
      </w:tr>
      <w:tr w:rsidR="006E7EB0" w:rsidRPr="00FD57B3" w:rsidTr="00057B3A">
        <w:tc>
          <w:tcPr>
            <w:tcW w:w="9670" w:type="dxa"/>
            <w:tcBorders>
              <w:bottom w:val="single" w:sz="4" w:space="0" w:color="auto"/>
            </w:tcBorders>
          </w:tcPr>
          <w:p w:rsidR="006E7EB0" w:rsidRDefault="00E36EC6" w:rsidP="00057B3A">
            <w:pPr>
              <w:rPr>
                <w:sz w:val="28"/>
                <w:szCs w:val="28"/>
              </w:rPr>
            </w:pPr>
            <w:r>
              <w:rPr>
                <w:sz w:val="28"/>
                <w:szCs w:val="28"/>
              </w:rPr>
              <w:t>Alle præsentationer var denne gang i E-</w:t>
            </w:r>
            <w:proofErr w:type="spellStart"/>
            <w:r>
              <w:rPr>
                <w:sz w:val="28"/>
                <w:szCs w:val="28"/>
              </w:rPr>
              <w:t>learn</w:t>
            </w:r>
            <w:proofErr w:type="spellEnd"/>
            <w:r>
              <w:rPr>
                <w:sz w:val="28"/>
                <w:szCs w:val="28"/>
              </w:rPr>
              <w:t xml:space="preserve"> til tiden. Et indsatsområde der er lykkedes. </w:t>
            </w:r>
          </w:p>
          <w:p w:rsidR="006E7EB0" w:rsidRPr="00FD57B3" w:rsidRDefault="00E36EC6" w:rsidP="00057B3A">
            <w:pPr>
              <w:rPr>
                <w:sz w:val="28"/>
                <w:szCs w:val="28"/>
              </w:rPr>
            </w:pPr>
            <w:r>
              <w:rPr>
                <w:sz w:val="28"/>
                <w:szCs w:val="28"/>
              </w:rPr>
              <w:t xml:space="preserve">Kun positive kommentarer til de to nye </w:t>
            </w:r>
            <w:r w:rsidR="00447664">
              <w:rPr>
                <w:sz w:val="28"/>
                <w:szCs w:val="28"/>
              </w:rPr>
              <w:t>TBL-moduler</w:t>
            </w:r>
            <w:r>
              <w:rPr>
                <w:sz w:val="28"/>
                <w:szCs w:val="28"/>
              </w:rPr>
              <w:t>. Specielt hvad angår feedback.</w:t>
            </w:r>
          </w:p>
        </w:tc>
      </w:tr>
      <w:tr w:rsidR="006E7EB0" w:rsidRPr="00FD57B3" w:rsidTr="00057B3A">
        <w:tc>
          <w:tcPr>
            <w:tcW w:w="9670" w:type="dxa"/>
            <w:shd w:val="clear" w:color="auto" w:fill="95B3D7" w:themeFill="accent1" w:themeFillTint="99"/>
          </w:tcPr>
          <w:p w:rsidR="006E7EB0" w:rsidRPr="00FD57B3" w:rsidRDefault="006E7EB0" w:rsidP="00057B3A">
            <w:pPr>
              <w:rPr>
                <w:sz w:val="28"/>
                <w:szCs w:val="28"/>
              </w:rPr>
            </w:pPr>
            <w:r w:rsidRPr="00FD57B3">
              <w:rPr>
                <w:sz w:val="28"/>
                <w:szCs w:val="28"/>
              </w:rPr>
              <w:t xml:space="preserve">Hvilke negative </w:t>
            </w:r>
            <w:r>
              <w:rPr>
                <w:sz w:val="28"/>
                <w:szCs w:val="28"/>
              </w:rPr>
              <w:t>elementer var der i evalueringen</w:t>
            </w:r>
          </w:p>
        </w:tc>
      </w:tr>
      <w:tr w:rsidR="006E7EB0" w:rsidRPr="00FD57B3" w:rsidTr="00057B3A">
        <w:tc>
          <w:tcPr>
            <w:tcW w:w="9670" w:type="dxa"/>
          </w:tcPr>
          <w:p w:rsidR="006E7EB0" w:rsidRPr="00FD57B3" w:rsidRDefault="00E36EC6" w:rsidP="00057B3A">
            <w:pPr>
              <w:rPr>
                <w:sz w:val="28"/>
                <w:szCs w:val="28"/>
              </w:rPr>
            </w:pPr>
            <w:r>
              <w:rPr>
                <w:sz w:val="28"/>
                <w:szCs w:val="28"/>
              </w:rPr>
              <w:t>Aflysninger er forståeligt generende (i alt 4 timer).</w:t>
            </w:r>
          </w:p>
          <w:p w:rsidR="006E7EB0" w:rsidRDefault="00E36EC6" w:rsidP="00057B3A">
            <w:pPr>
              <w:rPr>
                <w:sz w:val="28"/>
                <w:szCs w:val="28"/>
              </w:rPr>
            </w:pPr>
            <w:r>
              <w:rPr>
                <w:sz w:val="28"/>
                <w:szCs w:val="28"/>
              </w:rPr>
              <w:t>For lidt feedback, fraset TBL-sessioner.</w:t>
            </w:r>
          </w:p>
          <w:p w:rsidR="00E36EC6" w:rsidRPr="00FD57B3" w:rsidRDefault="00E36EC6" w:rsidP="00057B3A">
            <w:pPr>
              <w:rPr>
                <w:sz w:val="28"/>
                <w:szCs w:val="28"/>
              </w:rPr>
            </w:pPr>
            <w:r>
              <w:rPr>
                <w:sz w:val="28"/>
                <w:szCs w:val="28"/>
              </w:rPr>
              <w:t>Flere nævner at flere undervisere beklager at de er ”beskåret ” i tid.</w:t>
            </w:r>
          </w:p>
          <w:p w:rsidR="006E7EB0" w:rsidRPr="00FD57B3" w:rsidRDefault="00EA7CAB" w:rsidP="00057B3A">
            <w:pPr>
              <w:rPr>
                <w:sz w:val="28"/>
                <w:szCs w:val="28"/>
              </w:rPr>
            </w:pPr>
            <w:r>
              <w:rPr>
                <w:sz w:val="28"/>
                <w:szCs w:val="28"/>
              </w:rPr>
              <w:t>Læs</w:t>
            </w:r>
            <w:r w:rsidR="00447664">
              <w:rPr>
                <w:sz w:val="28"/>
                <w:szCs w:val="28"/>
              </w:rPr>
              <w:t>e</w:t>
            </w:r>
            <w:r>
              <w:rPr>
                <w:sz w:val="28"/>
                <w:szCs w:val="28"/>
              </w:rPr>
              <w:t xml:space="preserve">henvisninger i </w:t>
            </w:r>
            <w:proofErr w:type="spellStart"/>
            <w:r>
              <w:rPr>
                <w:sz w:val="28"/>
                <w:szCs w:val="28"/>
              </w:rPr>
              <w:t>Studyguide</w:t>
            </w:r>
            <w:proofErr w:type="spellEnd"/>
            <w:r>
              <w:rPr>
                <w:sz w:val="28"/>
                <w:szCs w:val="28"/>
              </w:rPr>
              <w:t xml:space="preserve"> har været for sparsomme.</w:t>
            </w:r>
          </w:p>
        </w:tc>
      </w:tr>
      <w:tr w:rsidR="006E7EB0" w:rsidRPr="00FD57B3" w:rsidTr="00057B3A">
        <w:tc>
          <w:tcPr>
            <w:tcW w:w="9670" w:type="dxa"/>
            <w:shd w:val="clear" w:color="auto" w:fill="8DB3E2" w:themeFill="text2" w:themeFillTint="66"/>
          </w:tcPr>
          <w:p w:rsidR="006E7EB0" w:rsidRPr="00FD57B3" w:rsidRDefault="006E7EB0" w:rsidP="00057B3A">
            <w:pPr>
              <w:rPr>
                <w:sz w:val="28"/>
                <w:szCs w:val="28"/>
              </w:rPr>
            </w:pPr>
            <w:r>
              <w:rPr>
                <w:sz w:val="28"/>
                <w:szCs w:val="28"/>
              </w:rPr>
              <w:t>Hvilke forslag til forbedringer fremgik af evalueringen?</w:t>
            </w:r>
          </w:p>
        </w:tc>
      </w:tr>
      <w:tr w:rsidR="006E7EB0" w:rsidRPr="00FD57B3" w:rsidTr="00447664">
        <w:trPr>
          <w:trHeight w:val="1022"/>
        </w:trPr>
        <w:tc>
          <w:tcPr>
            <w:tcW w:w="9670" w:type="dxa"/>
          </w:tcPr>
          <w:p w:rsidR="006E7EB0" w:rsidRDefault="00E36EC6" w:rsidP="00057B3A">
            <w:pPr>
              <w:rPr>
                <w:sz w:val="28"/>
                <w:szCs w:val="28"/>
              </w:rPr>
            </w:pPr>
            <w:r>
              <w:rPr>
                <w:sz w:val="28"/>
                <w:szCs w:val="28"/>
              </w:rPr>
              <w:t>Flere savner holdundervisningen.</w:t>
            </w:r>
          </w:p>
          <w:p w:rsidR="00E36EC6" w:rsidRPr="00FD57B3" w:rsidRDefault="00E36EC6" w:rsidP="00057B3A">
            <w:pPr>
              <w:rPr>
                <w:sz w:val="28"/>
                <w:szCs w:val="28"/>
              </w:rPr>
            </w:pPr>
            <w:r>
              <w:rPr>
                <w:sz w:val="28"/>
                <w:szCs w:val="28"/>
              </w:rPr>
              <w:t>Ønske om mere feedback</w:t>
            </w:r>
          </w:p>
        </w:tc>
      </w:tr>
    </w:tbl>
    <w:p w:rsidR="006E7EB0" w:rsidRPr="00FD57B3" w:rsidRDefault="006E7EB0" w:rsidP="006E7EB0">
      <w:pPr>
        <w:rPr>
          <w:sz w:val="28"/>
          <w:szCs w:val="28"/>
        </w:rPr>
      </w:pPr>
    </w:p>
    <w:tbl>
      <w:tblPr>
        <w:tblStyle w:val="Tabel-Gitter"/>
        <w:tblW w:w="0" w:type="auto"/>
        <w:tblInd w:w="108" w:type="dxa"/>
        <w:shd w:val="clear" w:color="auto" w:fill="4BACC6" w:themeFill="accent5"/>
        <w:tblLook w:val="04A0" w:firstRow="1" w:lastRow="0" w:firstColumn="1" w:lastColumn="0" w:noHBand="0" w:noVBand="1"/>
      </w:tblPr>
      <w:tblGrid>
        <w:gridCol w:w="2598"/>
        <w:gridCol w:w="2436"/>
        <w:gridCol w:w="2700"/>
        <w:gridCol w:w="2006"/>
      </w:tblGrid>
      <w:tr w:rsidR="006E7EB0" w:rsidRPr="00FD57B3" w:rsidTr="00057B3A">
        <w:tc>
          <w:tcPr>
            <w:tcW w:w="7734" w:type="dxa"/>
            <w:gridSpan w:val="3"/>
            <w:tcBorders>
              <w:bottom w:val="single" w:sz="4" w:space="0" w:color="auto"/>
            </w:tcBorders>
            <w:shd w:val="clear" w:color="auto" w:fill="95B3D7" w:themeFill="accent1" w:themeFillTint="99"/>
          </w:tcPr>
          <w:p w:rsidR="006E7EB0" w:rsidRPr="00665824" w:rsidRDefault="006E7EB0" w:rsidP="00057B3A">
            <w:pPr>
              <w:rPr>
                <w:sz w:val="28"/>
                <w:szCs w:val="28"/>
              </w:rPr>
            </w:pPr>
            <w:r>
              <w:rPr>
                <w:sz w:val="28"/>
                <w:szCs w:val="28"/>
              </w:rPr>
              <w:t>Bemærkning til evalueringsresultaterne</w:t>
            </w:r>
          </w:p>
        </w:tc>
        <w:tc>
          <w:tcPr>
            <w:tcW w:w="2006" w:type="dxa"/>
            <w:tcBorders>
              <w:bottom w:val="single" w:sz="4" w:space="0" w:color="auto"/>
            </w:tcBorders>
            <w:shd w:val="clear" w:color="auto" w:fill="95B3D7" w:themeFill="accent1" w:themeFillTint="99"/>
          </w:tcPr>
          <w:p w:rsidR="006E7EB0" w:rsidRDefault="006E7EB0" w:rsidP="00057B3A">
            <w:pPr>
              <w:rPr>
                <w:sz w:val="28"/>
                <w:szCs w:val="28"/>
              </w:rPr>
            </w:pPr>
          </w:p>
        </w:tc>
      </w:tr>
      <w:tr w:rsidR="006E7EB0" w:rsidRPr="00FD57B3" w:rsidTr="00447664">
        <w:trPr>
          <w:trHeight w:val="161"/>
        </w:trPr>
        <w:tc>
          <w:tcPr>
            <w:tcW w:w="2598" w:type="dxa"/>
            <w:tcBorders>
              <w:bottom w:val="single" w:sz="4" w:space="0" w:color="auto"/>
            </w:tcBorders>
            <w:shd w:val="clear" w:color="auto" w:fill="FFFFFF" w:themeFill="background1"/>
          </w:tcPr>
          <w:p w:rsidR="006E7EB0" w:rsidRPr="00547453" w:rsidRDefault="006E7EB0" w:rsidP="00057B3A">
            <w:pPr>
              <w:rPr>
                <w:sz w:val="20"/>
                <w:szCs w:val="28"/>
              </w:rPr>
            </w:pPr>
            <w:r w:rsidRPr="00547453">
              <w:rPr>
                <w:sz w:val="20"/>
                <w:szCs w:val="28"/>
              </w:rPr>
              <w:t>Fra modulansvarlig</w:t>
            </w:r>
          </w:p>
        </w:tc>
        <w:tc>
          <w:tcPr>
            <w:tcW w:w="2436" w:type="dxa"/>
            <w:tcBorders>
              <w:bottom w:val="single" w:sz="4" w:space="0" w:color="auto"/>
            </w:tcBorders>
            <w:shd w:val="clear" w:color="auto" w:fill="FFFFFF" w:themeFill="background1"/>
          </w:tcPr>
          <w:p w:rsidR="006E7EB0" w:rsidRPr="00547453" w:rsidRDefault="006E7EB0" w:rsidP="00057B3A">
            <w:pPr>
              <w:rPr>
                <w:sz w:val="20"/>
                <w:szCs w:val="28"/>
              </w:rPr>
            </w:pPr>
            <w:r w:rsidRPr="00547453">
              <w:rPr>
                <w:sz w:val="20"/>
                <w:szCs w:val="28"/>
              </w:rPr>
              <w:t>Fra studieleder</w:t>
            </w:r>
          </w:p>
        </w:tc>
        <w:tc>
          <w:tcPr>
            <w:tcW w:w="2700" w:type="dxa"/>
            <w:tcBorders>
              <w:bottom w:val="single" w:sz="4" w:space="0" w:color="auto"/>
            </w:tcBorders>
            <w:shd w:val="clear" w:color="auto" w:fill="FFFFFF" w:themeFill="background1"/>
          </w:tcPr>
          <w:p w:rsidR="006E7EB0" w:rsidRPr="00547453" w:rsidRDefault="006E7EB0" w:rsidP="00057B3A">
            <w:pPr>
              <w:rPr>
                <w:sz w:val="20"/>
                <w:szCs w:val="28"/>
              </w:rPr>
            </w:pPr>
            <w:r w:rsidRPr="00547453">
              <w:rPr>
                <w:sz w:val="20"/>
                <w:szCs w:val="28"/>
              </w:rPr>
              <w:t>Fra studiekoordinator</w:t>
            </w:r>
          </w:p>
        </w:tc>
        <w:tc>
          <w:tcPr>
            <w:tcW w:w="2006" w:type="dxa"/>
            <w:tcBorders>
              <w:bottom w:val="single" w:sz="4" w:space="0" w:color="auto"/>
            </w:tcBorders>
            <w:shd w:val="clear" w:color="auto" w:fill="FFFFFF" w:themeFill="background1"/>
          </w:tcPr>
          <w:p w:rsidR="006E7EB0" w:rsidRPr="00547453" w:rsidRDefault="006E7EB0" w:rsidP="00057B3A">
            <w:pPr>
              <w:rPr>
                <w:sz w:val="20"/>
                <w:szCs w:val="28"/>
              </w:rPr>
            </w:pPr>
            <w:r w:rsidRPr="00547453">
              <w:rPr>
                <w:sz w:val="20"/>
                <w:szCs w:val="28"/>
              </w:rPr>
              <w:t>Fra modulsekretær</w:t>
            </w:r>
          </w:p>
        </w:tc>
      </w:tr>
      <w:tr w:rsidR="006E7EB0" w:rsidRPr="00FD57B3" w:rsidTr="00447664">
        <w:trPr>
          <w:trHeight w:val="575"/>
        </w:trPr>
        <w:tc>
          <w:tcPr>
            <w:tcW w:w="2598" w:type="dxa"/>
            <w:tcBorders>
              <w:bottom w:val="nil"/>
            </w:tcBorders>
            <w:shd w:val="clear" w:color="auto" w:fill="FFFFFF" w:themeFill="background1"/>
          </w:tcPr>
          <w:p w:rsidR="006E7EB0" w:rsidRPr="00FD57B3" w:rsidRDefault="006E7EB0" w:rsidP="00057B3A">
            <w:pPr>
              <w:rPr>
                <w:sz w:val="28"/>
                <w:szCs w:val="28"/>
              </w:rPr>
            </w:pPr>
          </w:p>
        </w:tc>
        <w:tc>
          <w:tcPr>
            <w:tcW w:w="2436" w:type="dxa"/>
            <w:tcBorders>
              <w:bottom w:val="nil"/>
            </w:tcBorders>
            <w:shd w:val="clear" w:color="auto" w:fill="FFFFFF" w:themeFill="background1"/>
          </w:tcPr>
          <w:p w:rsidR="006E7EB0" w:rsidRPr="00FD57B3" w:rsidRDefault="006E7EB0" w:rsidP="00057B3A">
            <w:pPr>
              <w:rPr>
                <w:sz w:val="28"/>
                <w:szCs w:val="28"/>
              </w:rPr>
            </w:pPr>
          </w:p>
        </w:tc>
        <w:tc>
          <w:tcPr>
            <w:tcW w:w="2700" w:type="dxa"/>
            <w:tcBorders>
              <w:bottom w:val="nil"/>
            </w:tcBorders>
            <w:shd w:val="clear" w:color="auto" w:fill="FFFFFF" w:themeFill="background1"/>
          </w:tcPr>
          <w:p w:rsidR="006E7EB0" w:rsidRPr="00FD57B3" w:rsidRDefault="006E7EB0" w:rsidP="00057B3A">
            <w:pPr>
              <w:rPr>
                <w:sz w:val="28"/>
                <w:szCs w:val="28"/>
              </w:rPr>
            </w:pPr>
          </w:p>
        </w:tc>
        <w:tc>
          <w:tcPr>
            <w:tcW w:w="2006" w:type="dxa"/>
            <w:tcBorders>
              <w:bottom w:val="nil"/>
            </w:tcBorders>
            <w:shd w:val="clear" w:color="auto" w:fill="FFFFFF" w:themeFill="background1"/>
          </w:tcPr>
          <w:p w:rsidR="006E7EB0" w:rsidRPr="00FD57B3" w:rsidRDefault="006E7EB0" w:rsidP="00057B3A">
            <w:pPr>
              <w:rPr>
                <w:sz w:val="28"/>
                <w:szCs w:val="28"/>
              </w:rPr>
            </w:pPr>
          </w:p>
        </w:tc>
      </w:tr>
    </w:tbl>
    <w:p w:rsidR="006E7EB0" w:rsidRPr="00FD57B3" w:rsidRDefault="006E7EB0" w:rsidP="006E7EB0">
      <w:pPr>
        <w:jc w:val="center"/>
        <w:rPr>
          <w:sz w:val="28"/>
          <w:szCs w:val="28"/>
        </w:rPr>
      </w:pPr>
    </w:p>
    <w:tbl>
      <w:tblPr>
        <w:tblStyle w:val="Tabel-Gitter"/>
        <w:tblW w:w="0" w:type="auto"/>
        <w:tblInd w:w="108" w:type="dxa"/>
        <w:shd w:val="clear" w:color="auto" w:fill="4BACC6" w:themeFill="accent5"/>
        <w:tblLook w:val="04A0" w:firstRow="1" w:lastRow="0" w:firstColumn="1" w:lastColumn="0" w:noHBand="0" w:noVBand="1"/>
      </w:tblPr>
      <w:tblGrid>
        <w:gridCol w:w="9670"/>
      </w:tblGrid>
      <w:tr w:rsidR="006E7EB0" w:rsidRPr="00FD57B3" w:rsidTr="00057B3A">
        <w:tc>
          <w:tcPr>
            <w:tcW w:w="9670" w:type="dxa"/>
            <w:tcBorders>
              <w:bottom w:val="single" w:sz="4" w:space="0" w:color="auto"/>
            </w:tcBorders>
            <w:shd w:val="clear" w:color="auto" w:fill="95B3D7" w:themeFill="accent1" w:themeFillTint="99"/>
          </w:tcPr>
          <w:p w:rsidR="006E7EB0" w:rsidRPr="00FD57B3" w:rsidRDefault="006E7EB0" w:rsidP="00057B3A">
            <w:pPr>
              <w:jc w:val="center"/>
              <w:rPr>
                <w:sz w:val="28"/>
                <w:szCs w:val="28"/>
              </w:rPr>
            </w:pPr>
            <w:r>
              <w:rPr>
                <w:b/>
                <w:sz w:val="28"/>
                <w:szCs w:val="28"/>
              </w:rPr>
              <w:t>Hvad er din handleplan som følge af evalueringen?</w:t>
            </w:r>
          </w:p>
        </w:tc>
      </w:tr>
      <w:tr w:rsidR="006E7EB0" w:rsidRPr="00FD57B3" w:rsidTr="00057B3A">
        <w:trPr>
          <w:trHeight w:val="2098"/>
        </w:trPr>
        <w:tc>
          <w:tcPr>
            <w:tcW w:w="9670" w:type="dxa"/>
            <w:shd w:val="clear" w:color="auto" w:fill="FFFFFF" w:themeFill="background1"/>
          </w:tcPr>
          <w:p w:rsidR="00E36EC6" w:rsidRDefault="00E36EC6" w:rsidP="00057B3A">
            <w:pPr>
              <w:rPr>
                <w:sz w:val="28"/>
                <w:szCs w:val="28"/>
              </w:rPr>
            </w:pPr>
            <w:r>
              <w:rPr>
                <w:sz w:val="28"/>
                <w:szCs w:val="28"/>
              </w:rPr>
              <w:t>Fortsat tilstræbe at alt materiale er tilgængeligt tidsnok på E-</w:t>
            </w:r>
            <w:proofErr w:type="spellStart"/>
            <w:r>
              <w:rPr>
                <w:sz w:val="28"/>
                <w:szCs w:val="28"/>
              </w:rPr>
              <w:t>learn</w:t>
            </w:r>
            <w:proofErr w:type="spellEnd"/>
            <w:r>
              <w:rPr>
                <w:sz w:val="28"/>
                <w:szCs w:val="28"/>
              </w:rPr>
              <w:t>.</w:t>
            </w:r>
          </w:p>
          <w:p w:rsidR="00E36EC6" w:rsidRDefault="00E36EC6" w:rsidP="00057B3A">
            <w:pPr>
              <w:rPr>
                <w:sz w:val="28"/>
                <w:szCs w:val="28"/>
              </w:rPr>
            </w:pPr>
            <w:r>
              <w:rPr>
                <w:sz w:val="28"/>
                <w:szCs w:val="28"/>
              </w:rPr>
              <w:t>Nedenstående mail har været rundsendt til alle medundervisere uden der er kommet negative tilbagemeldinger fra med-underviserne, kun positive.</w:t>
            </w:r>
          </w:p>
          <w:p w:rsidR="00E36EC6" w:rsidRDefault="00E36EC6" w:rsidP="00057B3A">
            <w:pPr>
              <w:rPr>
                <w:sz w:val="28"/>
                <w:szCs w:val="28"/>
              </w:rPr>
            </w:pPr>
            <w:r>
              <w:rPr>
                <w:sz w:val="28"/>
                <w:szCs w:val="28"/>
              </w:rPr>
              <w:t>Gælder også del-tovholdere.</w:t>
            </w:r>
          </w:p>
          <w:p w:rsidR="00EA7CAB" w:rsidRDefault="00EA7CAB" w:rsidP="00057B3A">
            <w:pPr>
              <w:rPr>
                <w:sz w:val="28"/>
                <w:szCs w:val="28"/>
              </w:rPr>
            </w:pPr>
            <w:r>
              <w:rPr>
                <w:sz w:val="28"/>
                <w:szCs w:val="28"/>
              </w:rPr>
              <w:t>Helt uacceptabelt at undervisere beklager sig til de s</w:t>
            </w:r>
            <w:r w:rsidR="00447664">
              <w:rPr>
                <w:sz w:val="28"/>
                <w:szCs w:val="28"/>
              </w:rPr>
              <w:t>t</w:t>
            </w:r>
            <w:r>
              <w:rPr>
                <w:sz w:val="28"/>
                <w:szCs w:val="28"/>
              </w:rPr>
              <w:t>u</w:t>
            </w:r>
            <w:r w:rsidR="00447664">
              <w:rPr>
                <w:sz w:val="28"/>
                <w:szCs w:val="28"/>
              </w:rPr>
              <w:t>de</w:t>
            </w:r>
            <w:r>
              <w:rPr>
                <w:sz w:val="28"/>
                <w:szCs w:val="28"/>
              </w:rPr>
              <w:t>rende over dårlige rammer, er påtalt.</w:t>
            </w:r>
          </w:p>
          <w:p w:rsidR="00E36EC6" w:rsidRDefault="00E36EC6" w:rsidP="00057B3A">
            <w:pPr>
              <w:rPr>
                <w:sz w:val="28"/>
                <w:szCs w:val="28"/>
              </w:rPr>
            </w:pPr>
            <w:r>
              <w:rPr>
                <w:sz w:val="28"/>
                <w:szCs w:val="28"/>
              </w:rPr>
              <w:t xml:space="preserve">Vedr. feedback vil der blive skrevet i fællesmail til alle undervisere at de skal prioritere dette, fx via </w:t>
            </w:r>
            <w:proofErr w:type="spellStart"/>
            <w:r>
              <w:rPr>
                <w:sz w:val="28"/>
                <w:szCs w:val="28"/>
              </w:rPr>
              <w:t>Kahoot</w:t>
            </w:r>
            <w:proofErr w:type="spellEnd"/>
            <w:r>
              <w:rPr>
                <w:sz w:val="28"/>
                <w:szCs w:val="28"/>
              </w:rPr>
              <w:t>.</w:t>
            </w:r>
            <w:r w:rsidR="00EA7CAB">
              <w:rPr>
                <w:sz w:val="28"/>
                <w:szCs w:val="28"/>
              </w:rPr>
              <w:t xml:space="preserve"> Medunderviserne er bedt overveje om Deres emne er egnet til TBL, de er velkomne til at overvære de kørende </w:t>
            </w:r>
            <w:proofErr w:type="spellStart"/>
            <w:r w:rsidR="00EA7CAB">
              <w:rPr>
                <w:sz w:val="28"/>
                <w:szCs w:val="28"/>
              </w:rPr>
              <w:t>TBL’s</w:t>
            </w:r>
            <w:proofErr w:type="spellEnd"/>
            <w:r w:rsidR="00EA7CAB">
              <w:rPr>
                <w:sz w:val="28"/>
                <w:szCs w:val="28"/>
              </w:rPr>
              <w:t>.</w:t>
            </w:r>
          </w:p>
          <w:p w:rsidR="00EA7CAB" w:rsidRDefault="00EA7CAB" w:rsidP="00057B3A">
            <w:pPr>
              <w:rPr>
                <w:sz w:val="28"/>
                <w:szCs w:val="28"/>
              </w:rPr>
            </w:pPr>
            <w:r>
              <w:rPr>
                <w:sz w:val="28"/>
                <w:szCs w:val="28"/>
              </w:rPr>
              <w:lastRenderedPageBreak/>
              <w:t xml:space="preserve">Der har været 4 aflysninger (en i bevægeapparats radiologi som var en dublet time med K1), det er lykkedes at finde erstatningstimer for de tre andre aflysninger. Det vil blive tilstræbt at man </w:t>
            </w:r>
            <w:proofErr w:type="spellStart"/>
            <w:r>
              <w:rPr>
                <w:sz w:val="28"/>
                <w:szCs w:val="28"/>
              </w:rPr>
              <w:t>evt</w:t>
            </w:r>
            <w:proofErr w:type="spellEnd"/>
            <w:r>
              <w:rPr>
                <w:sz w:val="28"/>
                <w:szCs w:val="28"/>
              </w:rPr>
              <w:t xml:space="preserve"> sender en ”vikar” (=erfaren kollega) ved tilfælde af aflysning.</w:t>
            </w:r>
          </w:p>
          <w:p w:rsidR="00447664" w:rsidRDefault="00447664" w:rsidP="00EA7CAB">
            <w:pPr>
              <w:rPr>
                <w:b/>
                <w:bCs/>
                <w:color w:val="1F497D"/>
              </w:rPr>
            </w:pPr>
          </w:p>
          <w:p w:rsidR="00EA7CAB" w:rsidRDefault="00EA7CAB" w:rsidP="00EA7CAB">
            <w:pPr>
              <w:rPr>
                <w:color w:val="000000"/>
              </w:rPr>
            </w:pPr>
            <w:bookmarkStart w:id="0" w:name="_GoBack"/>
            <w:bookmarkEnd w:id="0"/>
            <w:r>
              <w:rPr>
                <w:color w:val="1F497D"/>
              </w:rPr>
              <w:t>Hermed vedhæftet studenternes evaluering af det nye K2.</w:t>
            </w:r>
          </w:p>
          <w:p w:rsidR="00EA7CAB" w:rsidRDefault="00EA7CAB" w:rsidP="00EA7CAB">
            <w:pPr>
              <w:rPr>
                <w:color w:val="000000"/>
              </w:rPr>
            </w:pPr>
            <w:r>
              <w:rPr>
                <w:color w:val="1F497D"/>
              </w:rPr>
              <w:t xml:space="preserve">Personligt lægger jeg størst vægt på de </w:t>
            </w:r>
            <w:proofErr w:type="spellStart"/>
            <w:r>
              <w:rPr>
                <w:color w:val="1F497D"/>
              </w:rPr>
              <w:t>percentuelle</w:t>
            </w:r>
            <w:proofErr w:type="spellEnd"/>
            <w:r>
              <w:rPr>
                <w:color w:val="1F497D"/>
              </w:rPr>
              <w:t xml:space="preserve"> scores men er selvfølgelig lydhør over de skriftlige kommentarer. Mener de </w:t>
            </w:r>
            <w:proofErr w:type="spellStart"/>
            <w:r>
              <w:rPr>
                <w:color w:val="1F497D"/>
              </w:rPr>
              <w:t>percentuelle</w:t>
            </w:r>
            <w:proofErr w:type="spellEnd"/>
            <w:r>
              <w:rPr>
                <w:color w:val="1F497D"/>
              </w:rPr>
              <w:t xml:space="preserve"> scores er acceptable.</w:t>
            </w:r>
          </w:p>
          <w:p w:rsidR="00EA7CAB" w:rsidRDefault="00EA7CAB" w:rsidP="00EA7CAB">
            <w:pPr>
              <w:rPr>
                <w:color w:val="000000"/>
              </w:rPr>
            </w:pPr>
            <w:r>
              <w:rPr>
                <w:color w:val="1F497D"/>
              </w:rPr>
              <w:t>Specielt er jeg glad for at der ikke har været klager over for sent oplagte slides på E-</w:t>
            </w:r>
            <w:proofErr w:type="spellStart"/>
            <w:r>
              <w:rPr>
                <w:color w:val="1F497D"/>
              </w:rPr>
              <w:t>learn</w:t>
            </w:r>
            <w:proofErr w:type="spellEnd"/>
            <w:r>
              <w:rPr>
                <w:color w:val="1F497D"/>
              </w:rPr>
              <w:t xml:space="preserve"> det har også været et indsatsområde fra vores modulsekretærs side, så tak Lene og til jer alle.</w:t>
            </w:r>
          </w:p>
          <w:p w:rsidR="00EA7CAB" w:rsidRDefault="00EA7CAB" w:rsidP="00EA7CAB">
            <w:pPr>
              <w:rPr>
                <w:color w:val="000000"/>
              </w:rPr>
            </w:pPr>
            <w:r>
              <w:rPr>
                <w:color w:val="1F497D"/>
              </w:rPr>
              <w:t>Jeg havde forventet kommentarer på det store antal undervisere men der har ikke været kommentarer desangående.</w:t>
            </w:r>
          </w:p>
          <w:p w:rsidR="00EA7CAB" w:rsidRDefault="00EA7CAB" w:rsidP="00EA7CAB">
            <w:pPr>
              <w:rPr>
                <w:color w:val="000000"/>
              </w:rPr>
            </w:pPr>
            <w:r>
              <w:rPr>
                <w:color w:val="1F497D"/>
              </w:rPr>
              <w:t>Derimod synes flere at springet fra ortopædi til hæmatologi er stort, måske forståeligt. Vi skal være opmærksomme på den røde tråd.</w:t>
            </w:r>
          </w:p>
          <w:p w:rsidR="00EA7CAB" w:rsidRDefault="00EA7CAB" w:rsidP="00EA7CAB">
            <w:pPr>
              <w:rPr>
                <w:color w:val="000000"/>
              </w:rPr>
            </w:pPr>
            <w:r>
              <w:rPr>
                <w:color w:val="1F497D"/>
              </w:rPr>
              <w:t xml:space="preserve">Flere har klaget over mere specifikke læsehenvisninger, de er løbende blevet implementeret i </w:t>
            </w:r>
            <w:proofErr w:type="spellStart"/>
            <w:r>
              <w:rPr>
                <w:color w:val="1F497D"/>
              </w:rPr>
              <w:t>Studyguide</w:t>
            </w:r>
            <w:proofErr w:type="spellEnd"/>
            <w:r>
              <w:rPr>
                <w:color w:val="1F497D"/>
              </w:rPr>
              <w:t xml:space="preserve"> under </w:t>
            </w:r>
            <w:proofErr w:type="spellStart"/>
            <w:r>
              <w:rPr>
                <w:color w:val="1F497D"/>
              </w:rPr>
              <w:t>foløbet</w:t>
            </w:r>
            <w:proofErr w:type="spellEnd"/>
            <w:r>
              <w:rPr>
                <w:color w:val="1F497D"/>
              </w:rPr>
              <w:t xml:space="preserve"> af vores modulsekretær, så det bør være optimeret.  </w:t>
            </w:r>
          </w:p>
          <w:p w:rsidR="00EA7CAB" w:rsidRDefault="00EA7CAB" w:rsidP="00EA7CAB">
            <w:pPr>
              <w:rPr>
                <w:color w:val="000000"/>
              </w:rPr>
            </w:pPr>
            <w:r>
              <w:rPr>
                <w:color w:val="1F497D"/>
              </w:rPr>
              <w:t xml:space="preserve">Flere har bemærket at undervisere (i flertal) har beklaget sig over timereduktionen i det nye modul. Det på trods at </w:t>
            </w:r>
            <w:proofErr w:type="spellStart"/>
            <w:r>
              <w:rPr>
                <w:color w:val="1F497D"/>
              </w:rPr>
              <w:t>at</w:t>
            </w:r>
            <w:proofErr w:type="spellEnd"/>
            <w:r>
              <w:rPr>
                <w:color w:val="1F497D"/>
              </w:rPr>
              <w:t xml:space="preserve"> intentionen fra </w:t>
            </w:r>
            <w:proofErr w:type="spellStart"/>
            <w:r>
              <w:rPr>
                <w:color w:val="1F497D"/>
              </w:rPr>
              <w:t>KI’s</w:t>
            </w:r>
            <w:proofErr w:type="spellEnd"/>
            <w:r>
              <w:rPr>
                <w:color w:val="1F497D"/>
              </w:rPr>
              <w:t xml:space="preserve"> side ikke er en besparelse men indførelse af mere evidensbaserede undervisningsteknikker (herunder TBL). Her vil jeg gerne opfordre til loyalitet overfor ”det nye modul”.</w:t>
            </w:r>
          </w:p>
          <w:p w:rsidR="00EA7CAB" w:rsidRDefault="00EA7CAB" w:rsidP="00EA7CAB">
            <w:pPr>
              <w:rPr>
                <w:color w:val="000000"/>
              </w:rPr>
            </w:pPr>
            <w:r>
              <w:rPr>
                <w:color w:val="1F497D"/>
              </w:rPr>
              <w:t>TBL (afholdt indenfor Reumatologi og Ortopædi), har været en succes (også for underviserne) og efterlyses også indenfor andre emner.</w:t>
            </w:r>
          </w:p>
          <w:p w:rsidR="00EA7CAB" w:rsidRDefault="00EA7CAB" w:rsidP="00EA7CAB">
            <w:pPr>
              <w:rPr>
                <w:color w:val="000000"/>
              </w:rPr>
            </w:pPr>
            <w:r>
              <w:rPr>
                <w:color w:val="1F497D"/>
              </w:rPr>
              <w:t>Min personlig erfaring med TBL-formen, nu jeg har prøvet den, er god. Hvis der er andre områder der har mod på at etablere TBL så må de gerne være med til den kommende Reumatologiske TBL, alle er velkomme.</w:t>
            </w:r>
          </w:p>
          <w:p w:rsidR="00EA7CAB" w:rsidRDefault="00EA7CAB" w:rsidP="00EA7CAB">
            <w:pPr>
              <w:rPr>
                <w:color w:val="000000"/>
              </w:rPr>
            </w:pPr>
            <w:r>
              <w:rPr>
                <w:color w:val="1F497D"/>
              </w:rPr>
              <w:t xml:space="preserve">Feedback er god i </w:t>
            </w:r>
            <w:r w:rsidR="00447664">
              <w:rPr>
                <w:color w:val="1F497D"/>
              </w:rPr>
              <w:t>TBL-sammenhæng</w:t>
            </w:r>
            <w:r>
              <w:rPr>
                <w:color w:val="1F497D"/>
              </w:rPr>
              <w:t xml:space="preserve"> og nævnes af flere samt at det er stort set fraværende i den øvrige undervisningsform. Nok værd at bemærke for de enkelte undervisere (- </w:t>
            </w:r>
            <w:proofErr w:type="spellStart"/>
            <w:r>
              <w:rPr>
                <w:color w:val="1F497D"/>
              </w:rPr>
              <w:t>dvs</w:t>
            </w:r>
            <w:proofErr w:type="spellEnd"/>
            <w:r>
              <w:rPr>
                <w:color w:val="1F497D"/>
              </w:rPr>
              <w:t xml:space="preserve"> os alle sammen!).</w:t>
            </w:r>
          </w:p>
          <w:p w:rsidR="00EA7CAB" w:rsidRDefault="00EA7CAB" w:rsidP="00EA7CAB">
            <w:pPr>
              <w:rPr>
                <w:color w:val="000000"/>
              </w:rPr>
            </w:pPr>
            <w:r>
              <w:rPr>
                <w:color w:val="1F497D"/>
              </w:rPr>
              <w:t>Enkelte savner holdundervisningen.</w:t>
            </w:r>
          </w:p>
          <w:p w:rsidR="00EA7CAB" w:rsidRDefault="00EA7CAB" w:rsidP="00EA7CAB">
            <w:pPr>
              <w:rPr>
                <w:color w:val="000000"/>
              </w:rPr>
            </w:pPr>
            <w:r>
              <w:rPr>
                <w:color w:val="1F497D"/>
              </w:rPr>
              <w:t>Slutteligt nævner flere at for sent udmeldte aflysninger er uacceptable. Det går jo mange studenter-timer med 100 personer i et auditorium der aflyses.</w:t>
            </w:r>
          </w:p>
          <w:p w:rsidR="00EA7CAB" w:rsidRDefault="00EA7CAB" w:rsidP="00EA7CAB">
            <w:pPr>
              <w:rPr>
                <w:color w:val="000000"/>
              </w:rPr>
            </w:pPr>
            <w:r>
              <w:rPr>
                <w:color w:val="1F497D"/>
              </w:rPr>
              <w:t xml:space="preserve">Konkret har der været 4 aflysninger. En idet den pågældende forelæsning allerede var afholdt på K1 og tre på grund af andre årsager, der blev fundet erstatningstimer for de to. Vi </w:t>
            </w:r>
            <w:r w:rsidR="00447664">
              <w:rPr>
                <w:color w:val="1F497D"/>
              </w:rPr>
              <w:t>tilstræber</w:t>
            </w:r>
            <w:r>
              <w:rPr>
                <w:color w:val="1F497D"/>
              </w:rPr>
              <w:t xml:space="preserve"> helt at undgå aflysninger.</w:t>
            </w:r>
          </w:p>
          <w:p w:rsidR="00EA7CAB" w:rsidRDefault="00EA7CAB" w:rsidP="00EA7CAB">
            <w:pPr>
              <w:rPr>
                <w:color w:val="000000"/>
              </w:rPr>
            </w:pPr>
            <w:r>
              <w:rPr>
                <w:color w:val="1F497D"/>
              </w:rPr>
              <w:t>Eksamen blev afviklet uden problemer.</w:t>
            </w:r>
          </w:p>
          <w:p w:rsidR="00EA7CAB" w:rsidRDefault="00EA7CAB" w:rsidP="00EA7CAB">
            <w:pPr>
              <w:rPr>
                <w:color w:val="000000"/>
              </w:rPr>
            </w:pPr>
            <w:r>
              <w:rPr>
                <w:color w:val="000000"/>
              </w:rPr>
              <w:t> </w:t>
            </w:r>
          </w:p>
          <w:p w:rsidR="00EA7CAB" w:rsidRDefault="00EA7CAB" w:rsidP="00EA7CAB">
            <w:pPr>
              <w:rPr>
                <w:color w:val="000000"/>
              </w:rPr>
            </w:pPr>
            <w:r>
              <w:rPr>
                <w:color w:val="1F497D"/>
              </w:rPr>
              <w:t>Samlet set vil jeg gerne sige tak til alle for stor tålmodighed i processen med at definere et nyt modul.</w:t>
            </w:r>
          </w:p>
          <w:p w:rsidR="00EA7CAB" w:rsidRDefault="00EA7CAB" w:rsidP="00EA7CAB">
            <w:pPr>
              <w:rPr>
                <w:color w:val="000000"/>
              </w:rPr>
            </w:pPr>
            <w:r>
              <w:rPr>
                <w:color w:val="000000"/>
              </w:rPr>
              <w:t> </w:t>
            </w:r>
          </w:p>
          <w:p w:rsidR="006E7EB0" w:rsidRPr="00FD57B3" w:rsidRDefault="00EA7CAB" w:rsidP="00447664">
            <w:pPr>
              <w:rPr>
                <w:sz w:val="28"/>
                <w:szCs w:val="28"/>
              </w:rPr>
            </w:pPr>
            <w:r>
              <w:rPr>
                <w:color w:val="1F497D"/>
              </w:rPr>
              <w:t xml:space="preserve">I næste uge kontakter jeg del-tovholderne </w:t>
            </w:r>
            <w:proofErr w:type="spellStart"/>
            <w:r>
              <w:rPr>
                <w:color w:val="1F497D"/>
              </w:rPr>
              <w:t>mhp</w:t>
            </w:r>
            <w:proofErr w:type="spellEnd"/>
            <w:r>
              <w:rPr>
                <w:color w:val="1F497D"/>
              </w:rPr>
              <w:t xml:space="preserve"> at få deres overvejelser med før jeg sender ovenstående til Studienævnet som kommentar og plan for det nye semester. Kommentarer er selvfølgelig velkomne.</w:t>
            </w:r>
          </w:p>
        </w:tc>
      </w:tr>
    </w:tbl>
    <w:p w:rsidR="00B15B95" w:rsidRPr="006E7EB0" w:rsidRDefault="00447664" w:rsidP="006E7EB0"/>
    <w:sectPr w:rsidR="00B15B95" w:rsidRPr="006E7EB0" w:rsidSect="00F9459B">
      <w:footerReference w:type="even" r:id="rId6"/>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AE" w:rsidRDefault="00801EC8">
      <w:r>
        <w:separator/>
      </w:r>
    </w:p>
  </w:endnote>
  <w:endnote w:type="continuationSeparator" w:id="0">
    <w:p w:rsidR="00CD1DAE" w:rsidRDefault="0080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ABE" w:rsidRDefault="006E7EB0" w:rsidP="00B158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94ABE" w:rsidRDefault="00447664" w:rsidP="00B1582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ABE" w:rsidRDefault="006E7EB0" w:rsidP="00B158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A7CAB">
      <w:rPr>
        <w:rStyle w:val="Sidetal"/>
        <w:noProof/>
      </w:rPr>
      <w:t>1</w:t>
    </w:r>
    <w:r>
      <w:rPr>
        <w:rStyle w:val="Sidetal"/>
      </w:rPr>
      <w:fldChar w:fldCharType="end"/>
    </w:r>
  </w:p>
  <w:p w:rsidR="00D94ABE" w:rsidRDefault="00447664" w:rsidP="00B1582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AE" w:rsidRDefault="00801EC8">
      <w:r>
        <w:separator/>
      </w:r>
    </w:p>
  </w:footnote>
  <w:footnote w:type="continuationSeparator" w:id="0">
    <w:p w:rsidR="00CD1DAE" w:rsidRDefault="00801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EB0"/>
    <w:rsid w:val="00447664"/>
    <w:rsid w:val="005602B6"/>
    <w:rsid w:val="006E7EB0"/>
    <w:rsid w:val="00755DE9"/>
    <w:rsid w:val="00801EC8"/>
    <w:rsid w:val="00CD1DAE"/>
    <w:rsid w:val="00E36EC6"/>
    <w:rsid w:val="00EA7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470A"/>
  <w15:docId w15:val="{83872F8B-AD95-41F5-9D28-AD8CEB1A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EB0"/>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6E7E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E7EB0"/>
    <w:rPr>
      <w:rFonts w:asciiTheme="majorHAnsi" w:eastAsiaTheme="majorEastAsia" w:hAnsiTheme="majorHAnsi" w:cstheme="majorBidi"/>
      <w:b/>
      <w:bCs/>
      <w:color w:val="365F91" w:themeColor="accent1" w:themeShade="BF"/>
      <w:sz w:val="28"/>
      <w:szCs w:val="28"/>
    </w:rPr>
  </w:style>
  <w:style w:type="paragraph" w:styleId="Sidefod">
    <w:name w:val="footer"/>
    <w:basedOn w:val="Normal"/>
    <w:link w:val="SidefodTegn"/>
    <w:uiPriority w:val="99"/>
    <w:unhideWhenUsed/>
    <w:rsid w:val="006E7EB0"/>
    <w:pPr>
      <w:tabs>
        <w:tab w:val="center" w:pos="4819"/>
        <w:tab w:val="right" w:pos="9638"/>
      </w:tabs>
    </w:pPr>
  </w:style>
  <w:style w:type="character" w:customStyle="1" w:styleId="SidefodTegn">
    <w:name w:val="Sidefod Tegn"/>
    <w:basedOn w:val="Standardskrifttypeiafsnit"/>
    <w:link w:val="Sidefod"/>
    <w:uiPriority w:val="99"/>
    <w:rsid w:val="006E7EB0"/>
    <w:rPr>
      <w:rFonts w:eastAsiaTheme="minorEastAsia"/>
      <w:sz w:val="24"/>
      <w:szCs w:val="24"/>
      <w:lang w:eastAsia="da-DK"/>
    </w:rPr>
  </w:style>
  <w:style w:type="character" w:styleId="Sidetal">
    <w:name w:val="page number"/>
    <w:basedOn w:val="Standardskrifttypeiafsnit"/>
    <w:uiPriority w:val="99"/>
    <w:semiHidden/>
    <w:unhideWhenUsed/>
    <w:rsid w:val="006E7EB0"/>
  </w:style>
  <w:style w:type="table" w:styleId="Tabel-Gitter">
    <w:name w:val="Table Grid"/>
    <w:basedOn w:val="Tabel-Normal"/>
    <w:uiPriority w:val="59"/>
    <w:rsid w:val="006E7EB0"/>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1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Krogh Andersen</dc:creator>
  <cp:lastModifiedBy>Anne-Sofie Holm Arnoldus</cp:lastModifiedBy>
  <cp:revision>3</cp:revision>
  <dcterms:created xsi:type="dcterms:W3CDTF">2018-03-09T11:49:00Z</dcterms:created>
  <dcterms:modified xsi:type="dcterms:W3CDTF">2019-07-17T11:22:00Z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{9C794614-7FBA-4CB5-98B8-716220B5A24C}</vt:lpwstr>
  </property>
</Properties>
</file>